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Vendas 2023–2025</w:t>
      </w:r>
    </w:p>
    <w:p>
      <w:pPr>
        <w:pStyle w:val="Heading1"/>
      </w:pPr>
      <w:r>
        <w:t>Valor vendido por mês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«Periodo», a partir de 108 linhas agrupadas em 36 categorias. O total é 2.058.682. O valor mais alto é 112.420, em «2025-12», e o mais baixo é 29.160, em «2023-02».</w:t>
      </w:r>
    </w:p>
    <w:p>
      <w:r>
        <w:rPr>
          <w:i/>
        </w:rPr>
        <w:t>o pico do fim de cada ano coincide com a campanha de Natal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36 categorias de «Periodo», a partir de 108 linhas. Total 2.058.682; média 57.185,61; mediana 53.662,5.</w:t>
      </w:r>
    </w:p>
    <w:p>
      <w:r>
        <w:rPr>
          <w:b/>
        </w:rPr>
        <w:t xml:space="preserve">Amplitude. </w:t>
      </w:r>
      <w:r>
        <w:t>Máximo 112.420 em «2025-12»; mínimo 29.160 em «2023-02». Amplitude 83.260; rácio de 3,86.</w:t>
      </w:r>
    </w:p>
    <w:p>
      <w:r>
        <w:rPr>
          <w:b/>
        </w:rPr>
        <w:t xml:space="preserve">Dispersão. </w:t>
      </w:r>
      <w:r>
        <w:t>Desvio-padrão 18.675,56; coeficiente de variação 32,7% — dispersão moderada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5,5% do total — concentração baixa (critério: &lt;25% baixa, 25–50% moderada, &gt;50% elevada). As três maiores valem 14,5%.</w:t>
      </w:r>
    </w:p>
    <w:p>
      <w:r>
        <w:rPr>
          <w:b/>
        </w:rPr>
        <w:t xml:space="preserve">Valores atípicos. </w:t>
      </w:r>
      <w:r>
        <w:t>1 valor fora do intervalo interquartil alargado (método de Tukey, 1,5×IQR): «2025-12» (112.420).</w:t>
      </w:r>
    </w:p>
    <w:p>
      <w:r>
        <w:rPr>
          <w:b/>
        </w:rPr>
        <w:t xml:space="preserve">Evolução. </w:t>
      </w:r>
      <w:r>
        <w:t>Do primeiro ao último período: +80.830 (+255,9%). Das 35 variações período a período, 24 positivas e 11 negativas — série não monótona. Maior subida: «2025-10» → «2025-11», +26.211. Maior descida: «2024-12» → «2025-01», -47.784.</w:t>
      </w:r>
    </w:p>
    <w:p>
      <w:r>
        <w:rPr>
          <w:b/>
        </w:rPr>
        <w:t xml:space="preserve">Tendência. </w:t>
      </w:r>
      <w:r>
        <w:t>Regressão linear com declive de +1.214,15 por período e R² de 0,47 — ajuste moderado (critério: &lt;0,3 fraco, 0,3–0,7 moderado, &gt;0,7 forte). Leitura: tendência crescente.</w:t>
      </w:r>
    </w:p>
    <w:p>
      <w:r>
        <w:rPr>
          <w:b/>
        </w:rPr>
        <w:t xml:space="preserve">Crescimento médio. </w:t>
      </w:r>
      <w:r>
        <w:t>Taxa de crescimento média geométrica de +3,7% por período.</w:t>
      </w:r>
    </w:p>
    <w:p>
      <w:r>
        <w:rPr>
          <w:b/>
        </w:rPr>
        <w:t xml:space="preserve">Sazonalidade. </w:t>
      </w:r>
      <w:r>
        <w:t>Índice sazonal sobre 3 ciclos anuais (média de cada mês a dividir pela média geral). Mês mais forte: Dezembro, índice 1,65 — 65,4% acima do mês típico. Mês mais fraco: Fevereiro, índice 0,62 — 38,3% abaixo.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p>
      <w:r>
        <w:br w:type="page"/>
      </w:r>
    </w:p>
    <w:p>
      <w:pPr>
        <w:pStyle w:val="Heading1"/>
      </w:pPr>
      <w:r>
        <w:t>Valor vendido por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«Canal», a partir de 108 linhas agrupadas em 3 categorias. O total é 2.058.682. O valor mais alto é 1.142.185, em «Loja online», e o mais baixo é 296.476, em «Loja fisica».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2.058.682; média 686.227,33; mediana 620.021.</w:t>
      </w:r>
    </w:p>
    <w:p>
      <w:r>
        <w:rPr>
          <w:b/>
        </w:rPr>
        <w:t xml:space="preserve">Amplitude. </w:t>
      </w:r>
      <w:r>
        <w:t>Máximo 1.142.185 em «Loja online»; mínimo 296.476 em «Loja fisica». Amplitude 845.709; rácio de 3,85.</w:t>
      </w:r>
    </w:p>
    <w:p>
      <w:r>
        <w:rPr>
          <w:b/>
        </w:rPr>
        <w:t xml:space="preserve">Dispersão. </w:t>
      </w:r>
      <w:r>
        <w:t>Desvio-padrão 426.724,02; coeficiente de variação 62,2%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55,5%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Canal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Loja online</w:t>
            </w:r>
          </w:p>
        </w:tc>
        <w:tc>
          <w:tcPr>
            <w:tcW w:type="dxa" w:w="4320"/>
          </w:tcPr>
          <w:p>
            <w:r>
              <w:t>1.142.185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t>620.021</w:t>
            </w:r>
          </w:p>
        </w:tc>
      </w:tr>
      <w:tr>
        <w:tc>
          <w:tcPr>
            <w:tcW w:type="dxa" w:w="4320"/>
          </w:tcPr>
          <w:p>
            <w:r>
              <w:t>Loja fisica</w:t>
            </w:r>
          </w:p>
        </w:tc>
        <w:tc>
          <w:tcPr>
            <w:tcW w:type="dxa" w:w="4320"/>
          </w:tcPr>
          <w:p>
            <w:r>
              <w:t>296.476</w:t>
            </w:r>
          </w:p>
        </w:tc>
      </w:tr>
    </w:tbl>
    <w:p>
      <w:r>
        <w:br w:type="page"/>
      </w:r>
    </w:p>
    <w:p>
      <w:pPr>
        <w:pStyle w:val="Heading1"/>
      </w:pPr>
      <w:r>
        <w:t>Peso de cada canal nas encomendas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«Encomendas» por «Canal», a partir de 108 linhas agrupadas em 3 categorias. O total é 49.147. O valor mais alto é 25.128, em «Loja online», e o mais baixo é 6.967, em «Loja fisica». A maior fatia, «Loja online», representa 51,1% do total.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49.147; média 16.382,33; mediana 17.052.</w:t>
      </w:r>
    </w:p>
    <w:p>
      <w:r>
        <w:rPr>
          <w:b/>
        </w:rPr>
        <w:t xml:space="preserve">Amplitude. </w:t>
      </w:r>
      <w:r>
        <w:t>Máximo 25.128 em «Loja online»; mínimo 6.967 em «Loja fisica». Amplitude 18.161; rácio de 3,61.</w:t>
      </w:r>
    </w:p>
    <w:p>
      <w:r>
        <w:rPr>
          <w:b/>
        </w:rPr>
        <w:t xml:space="preserve">Dispersão. </w:t>
      </w:r>
      <w:r>
        <w:t>Desvio-padrão 9.099,0; coeficiente de variação 55,5%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51,1%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br w:type="page"/>
      </w:r>
    </w:p>
    <w:p>
      <w:pPr>
        <w:pStyle w:val="Heading1"/>
      </w:pPr>
      <w:r>
        <w:t>Notas sobre os dados</w:t>
      </w:r>
    </w:p>
    <w:p>
      <w:r>
        <w:t>Não foram encontrados problemas nos dados de origem.</w:t>
      </w:r>
    </w:p>
    <w:p>
      <w:r>
        <w:t>Como os dados foram agrupados:</w:t>
      </w:r>
    </w:p>
    <w:p>
      <w:pPr>
        <w:pStyle w:val="ListBullet"/>
      </w:pPr>
      <w:r>
        <w:t>Valor vendido por mês: «Periodo» tratado como linha do tempo.</w:t>
      </w:r>
    </w:p>
    <w:p>
      <w:pPr>
        <w:pStyle w:val="ListBullet"/>
      </w:pPr>
      <w:r>
        <w:t>Valor vendido por mês: 108 linhas agrupadas em 36 categorias de «Periodo» (soma).</w:t>
      </w:r>
    </w:p>
    <w:p>
      <w:pPr>
        <w:pStyle w:val="ListBullet"/>
      </w:pPr>
      <w:r>
        <w:t>Valor vendido por canal: 108 linhas agrupadas em 3 categorias de «Canal» (soma).</w:t>
      </w:r>
    </w:p>
    <w:p>
      <w:pPr>
        <w:pStyle w:val="ListBullet"/>
      </w:pPr>
      <w:r>
        <w:t>Peso de cada canal nas encomendas: 108 linhas agrupadas em 3 categorias de «Canal» (soma).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