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Vendas 2023–2025</w:t>
      </w:r>
    </w:p>
    <w:p>
      <w:pPr>
        <w:pStyle w:val="Heading1"/>
      </w:pPr>
      <w:r>
        <w:t>Valor vendido por mês, por canal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0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gráfico mostra o total de «Valor» por «Periodo», a partir de 108 linhas agrupadas em 36 categorias. O total é 2.058.682. O valor mais alto é 112.420, em «2025-12», e o mais baixo é 29.160, em «2023-02».</w:t>
      </w:r>
    </w:p>
    <w:p>
      <w:r>
        <w:rPr>
          <w:i/>
        </w:rPr>
        <w:t>o pico do fim de cada ano coincide com a campanha de Natal</w:t>
      </w:r>
    </w:p>
    <w:p>
      <w:pPr>
        <w:pStyle w:val="Heading2"/>
      </w:pPr>
      <w:r>
        <w:t>Análise</w:t>
      </w:r>
    </w:p>
    <w:p>
      <w:r>
        <w:rPr>
          <w:b/>
        </w:rPr>
        <w:t xml:space="preserve">Comparação entre séries. </w:t>
      </w:r>
      <w:r>
        <w:t>3 séries, de «Canal». Por total: «Loja online» 1.142.185, 55,5%; «Marketplace» 620.021, 30,1%; «Loja fisica» 296.476, 14,4%. Do primeiro ao último período, «Marketplace» variou +324,6% e «Loja fisica» +118,6%.</w:t>
      </w:r>
    </w:p>
    <w:p>
      <w:r>
        <w:rPr>
          <w:b/>
        </w:rPr>
        <w:t xml:space="preserve">Por série. </w:t>
      </w:r>
      <w:r>
        <w:t>«Loja online»: máximo 63.197 em «2025-12», mínimo 15.840 em «2023-02», tendência crescente. «Marketplace»: máximo 36.433 em «2025-12», mínimo 7.920 em «2023-02», tendência crescente. «Loja fisica»: máximo 14.475 em «2023-12», mínimo 4.771 em «2025-02», tendência indefinida.</w:t>
      </w:r>
    </w:p>
    <w:p>
      <w:r>
        <w:rPr>
          <w:b/>
        </w:rPr>
        <w:t xml:space="preserve">Âmbito. </w:t>
      </w:r>
      <w:r>
        <w:t>36 categorias de «Periodo», a partir de 108 linhas. Total 2.058.682; média 57.185,61; mediana 53.662,5.</w:t>
      </w:r>
    </w:p>
    <w:p>
      <w:r>
        <w:rPr>
          <w:b/>
        </w:rPr>
        <w:t xml:space="preserve">Meta. </w:t>
      </w:r>
      <w:r>
        <w:t>Meta definida: 2.000.000. O total é 2.058.682 — 102,9% da meta, 58.682 acima da meta.</w:t>
      </w:r>
    </w:p>
    <w:p>
      <w:r>
        <w:rPr>
          <w:b/>
        </w:rPr>
        <w:t xml:space="preserve">Amplitude. </w:t>
      </w:r>
      <w:r>
        <w:t>Máximo 112.420 em «2025-12»; mínimo 29.160 em «2023-02». Amplitude 83.260; rácio de 3,86.</w:t>
      </w:r>
    </w:p>
    <w:p>
      <w:r>
        <w:rPr>
          <w:b/>
        </w:rPr>
        <w:t xml:space="preserve">Dispersão. </w:t>
      </w:r>
      <w:r>
        <w:t>Desvio-padrão 18.675,56; coeficiente de variação 32,7% — dispersão moderada (critério: &lt;15% baixa, 15–35% moderada, &gt;35% elevada).</w:t>
      </w:r>
    </w:p>
    <w:p>
      <w:r>
        <w:rPr>
          <w:b/>
        </w:rPr>
        <w:t xml:space="preserve">Concentração. </w:t>
      </w:r>
      <w:r>
        <w:t>A maior categoria representa 5,5% do total — concentração baixa (critério: &lt;25% baixa, 25–50% moderada, &gt;50% elevada). As três maiores valem 14,5%.</w:t>
      </w:r>
    </w:p>
    <w:p>
      <w:r>
        <w:rPr>
          <w:b/>
        </w:rPr>
        <w:t xml:space="preserve">Valores atípicos. </w:t>
      </w:r>
      <w:r>
        <w:t>1 valor fora do intervalo interquartil alargado (método de Tukey, 1,5×IQR): «2025-12» (112.420).</w:t>
      </w:r>
    </w:p>
    <w:p>
      <w:r>
        <w:rPr>
          <w:b/>
        </w:rPr>
        <w:t xml:space="preserve">Evolução. </w:t>
      </w:r>
      <w:r>
        <w:t>Do primeiro ao último período: +80.830 (+255,9%). Das 35 variações período a período, 24 positivas e 11 negativas — série não monótona. Maior subida: «2025-10» → «2025-11», +26.211. Maior descida: «2024-12» → «2025-01», -47.784.</w:t>
      </w:r>
    </w:p>
    <w:p>
      <w:r>
        <w:rPr>
          <w:b/>
        </w:rPr>
        <w:t xml:space="preserve">Tendência. </w:t>
      </w:r>
      <w:r>
        <w:t>Regressão linear com declive de +1.214,15 por período e R² de 0,47 — ajuste moderado (critério: &lt;0,3 fraco, 0,3–0,7 moderado, &gt;0,7 forte). Leitura: tendência crescente.</w:t>
      </w:r>
    </w:p>
    <w:p>
      <w:r>
        <w:rPr>
          <w:b/>
        </w:rPr>
        <w:t xml:space="preserve">Crescimento médio. </w:t>
      </w:r>
      <w:r>
        <w:t>Taxa de crescimento média geométrica de +3,7% por período.</w:t>
      </w:r>
    </w:p>
    <w:p>
      <w:r>
        <w:rPr>
          <w:b/>
        </w:rPr>
        <w:t xml:space="preserve">Sazonalidade. </w:t>
      </w:r>
      <w:r>
        <w:t>Índice sazonal sobre 3 ciclos anuais (média de cada mês a dividir pela média geral). Mês mais forte: Dezembro, índice 1,65 — 65,4% acima do mês típico. Mês mais fraco: Fevereiro, índice 0,62 — 38,3% abaixo.</w:t>
      </w:r>
    </w:p>
    <w:p>
      <w:r>
        <w:rPr>
          <w:b/>
        </w:rPr>
        <w:t xml:space="preserve">Previsão. </w:t>
      </w:r>
      <w:r>
        <w:t>Método: tendência linear sobre a série dessazonalizada, com o fator sazonal reaplicado a cada período previsto, ajustada a 36 períodos (R² de 0,89). Intervalos a 95% — 2026-01 entre 43.636,91 e 51.814,56; 2026-02 entre 40.737,36 e 48.318,97; 2026-03 entre 50.347,98 e 59.656,68; 2026-04 entre 57.846,42 e 68.474,73; 2026-05 entre 61.986,83 e 73.308,33; 2026-06 entre 69.748,41 e 82.415,86. Pressupõe que a tendência e a sazonalidade observadas se mantêm. Não incorpora nada que não esteja no ficheiro.</w:t>
      </w:r>
    </w:p>
    <w:p>
      <w:r>
        <w:rPr>
          <w:b/>
        </w:rPr>
        <w:t xml:space="preserve">Ano a ano. </w:t>
      </w:r>
      <w:r>
        <w:t>Totais por ano — 2023: 567.000; 2024: 676.199; 2025: 815.483.</w:t>
      </w:r>
    </w:p>
    <w:p>
      <w:r>
        <w:rPr>
          <w:b/>
        </w:rPr>
        <w:t xml:space="preserve">Comparação entre anos. </w:t>
      </w:r>
      <w:r>
        <w:t>Variação interanual — 2023→2024: +109.199 (+19,3%); 2024→2025: +139.284 (+20,6%). 2 de 2 variações foram positivas. Do primeiro ao último ano: +248.483 (+43,8%). Ano mais alto: 2025 (815.483); mais baixo: 2023 (567.000).</w:t>
      </w:r>
    </w:p>
    <w:p>
      <w:r>
        <w:br w:type="page"/>
      </w:r>
    </w:p>
    <w:p>
      <w:pPr>
        <w:pStyle w:val="Heading1"/>
      </w:pPr>
      <w:r>
        <w:t>Valor vendido por canal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0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gráfico mostra o total de «Valor» por «Canal», a partir de 108 linhas agrupadas em 3 categorias. O total é 2.058.682. O valor mais alto é 1.142.185, em «Loja online», e o mais baixo é 296.476, em «Loja fisica».</w:t>
      </w:r>
    </w:p>
    <w:p>
      <w:pPr>
        <w:pStyle w:val="Heading2"/>
      </w:pPr>
      <w:r>
        <w:t>Análise</w:t>
      </w:r>
    </w:p>
    <w:p>
      <w:r>
        <w:rPr>
          <w:b/>
        </w:rPr>
        <w:t xml:space="preserve">Âmbito. </w:t>
      </w:r>
      <w:r>
        <w:t>3 categorias de «Canal», a partir de 108 linhas. Total 2.058.682; média 686.227,33; mediana 620.021.</w:t>
      </w:r>
    </w:p>
    <w:p>
      <w:r>
        <w:rPr>
          <w:b/>
        </w:rPr>
        <w:t xml:space="preserve">Meta. </w:t>
      </w:r>
      <w:r>
        <w:t>Meta definida: 600.000 por categoria. 2 de 3 categorias atingiram-na (66,7%). Mais distantes da meta: «Loja fisica» com 296.476 (303.524 abaixo). Somando o que faltou a cada uma, o défice total é 303.524. A média por categoria é 686.227,33, 114,4% da meta.</w:t>
      </w:r>
    </w:p>
    <w:p>
      <w:r>
        <w:rPr>
          <w:b/>
        </w:rPr>
        <w:t xml:space="preserve">Amplitude. </w:t>
      </w:r>
      <w:r>
        <w:t>Máximo 1.142.185 em «Loja online»; mínimo 296.476 em «Loja fisica». Amplitude 845.709; rácio de 3,85.</w:t>
      </w:r>
    </w:p>
    <w:p>
      <w:r>
        <w:rPr>
          <w:b/>
        </w:rPr>
        <w:t xml:space="preserve">Dispersão. </w:t>
      </w:r>
      <w:r>
        <w:t>Desvio-padrão 426.724,02; coeficiente de variação 62,2% — dispersão elevada (critério: &lt;15% baixa, 15–35% moderada, &gt;35% elevada).</w:t>
      </w:r>
    </w:p>
    <w:p>
      <w:r>
        <w:rPr>
          <w:b/>
        </w:rPr>
        <w:t xml:space="preserve">Concentração. </w:t>
      </w:r>
      <w:r>
        <w:t>A maior categoria representa 55,5% do total — concentração elevada (critério: &lt;25% baixa, 25–50% moderada, &gt;50% elevada).</w:t>
      </w:r>
    </w:p>
    <w:p>
      <w:r>
        <w:rPr>
          <w:b/>
        </w:rPr>
        <w:t xml:space="preserve">Valores atípicos. </w:t>
      </w:r>
      <w:r>
        <w:t>Não avaliados — o método de Tukey (1,5×IQR) precisa de pelo menos 5 categorias e há 3.</w:t>
      </w:r>
    </w:p>
    <w:p>
      <w:r>
        <w:rPr>
          <w:b/>
        </w:rPr>
        <w:t xml:space="preserve">Evolução. </w:t>
      </w:r>
      <w:r>
        <w:t>Não analisada — «Canal» é um eixo categórico, não uma linha do tempo. Tendências e regressões só têm significado quando a ordem das categorias é a ordem do tempo.</w:t>
      </w:r>
    </w:p>
    <w:p>
      <w:r>
        <w:rPr>
          <w:b/>
        </w:rPr>
        <w:t xml:space="preserve">Ano a ano. </w:t>
      </w:r>
      <w:r>
        <w:t>Totais por ano — 2023: 567.000; 2024: 676.199; 2025: 815.483.</w:t>
      </w:r>
    </w:p>
    <w:p>
      <w:r>
        <w:rPr>
          <w:b/>
        </w:rPr>
        <w:t xml:space="preserve">Comparação entre anos. </w:t>
      </w:r>
      <w:r>
        <w:t>Variação interanual — 2023→2024: +109.199 (+19,3%); 2024→2025: +139.284 (+20,6%). 2 de 2 variações foram positivas. Do primeiro ao último ano: +248.483 (+43,8%). Ano mais alto: 2025 (815.483); mais baixo: 2023 (567.000).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Canal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Loja online</w:t>
            </w:r>
          </w:p>
        </w:tc>
        <w:tc>
          <w:tcPr>
            <w:tcW w:type="dxa" w:w="4320"/>
          </w:tcPr>
          <w:p>
            <w:r>
              <w:t>1.142.185</w:t>
            </w:r>
          </w:p>
        </w:tc>
      </w:tr>
      <w:tr>
        <w:tc>
          <w:tcPr>
            <w:tcW w:type="dxa" w:w="4320"/>
          </w:tcPr>
          <w:p>
            <w:r>
              <w:t>Marketplace</w:t>
            </w:r>
          </w:p>
        </w:tc>
        <w:tc>
          <w:tcPr>
            <w:tcW w:type="dxa" w:w="4320"/>
          </w:tcPr>
          <w:p>
            <w:r>
              <w:t>620.021</w:t>
            </w:r>
          </w:p>
        </w:tc>
      </w:tr>
      <w:tr>
        <w:tc>
          <w:tcPr>
            <w:tcW w:type="dxa" w:w="4320"/>
          </w:tcPr>
          <w:p>
            <w:r>
              <w:t>Loja fisica</w:t>
            </w:r>
          </w:p>
        </w:tc>
        <w:tc>
          <w:tcPr>
            <w:tcW w:type="dxa" w:w="4320"/>
          </w:tcPr>
          <w:p>
            <w:r>
              <w:t>296.476</w:t>
            </w:r>
          </w:p>
        </w:tc>
      </w:tr>
    </w:tbl>
    <w:p>
      <w:r>
        <w:br w:type="page"/>
      </w:r>
    </w:p>
    <w:p>
      <w:pPr>
        <w:pStyle w:val="Heading1"/>
      </w:pPr>
      <w:r>
        <w:t>Peso de cada canal nas encomendas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05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gráfico mostra o total de «Encomendas» por «Canal», a partir de 108 linhas agrupadas em 3 categorias. O total é 49.147. O valor mais alto é 25.128, em «Loja online», e o mais baixo é 6.967, em «Loja fisica». A maior fatia, «Loja online», representa 51,1% do total.</w:t>
      </w:r>
    </w:p>
    <w:p>
      <w:pPr>
        <w:pStyle w:val="Heading2"/>
      </w:pPr>
      <w:r>
        <w:t>Análise</w:t>
      </w:r>
    </w:p>
    <w:p>
      <w:r>
        <w:rPr>
          <w:b/>
        </w:rPr>
        <w:t xml:space="preserve">Âmbito. </w:t>
      </w:r>
      <w:r>
        <w:t>3 categorias de «Canal», a partir de 108 linhas. Total 49.147; média 16.382,33; mediana 17.052.</w:t>
      </w:r>
    </w:p>
    <w:p>
      <w:r>
        <w:rPr>
          <w:b/>
        </w:rPr>
        <w:t xml:space="preserve">Amplitude. </w:t>
      </w:r>
      <w:r>
        <w:t>Máximo 25.128 em «Loja online»; mínimo 6.967 em «Loja fisica». Amplitude 18.161; rácio de 3,61.</w:t>
      </w:r>
    </w:p>
    <w:p>
      <w:r>
        <w:rPr>
          <w:b/>
        </w:rPr>
        <w:t xml:space="preserve">Dispersão. </w:t>
      </w:r>
      <w:r>
        <w:t>Desvio-padrão 9.099,0; coeficiente de variação 55,5% — dispersão elevada (critério: &lt;15% baixa, 15–35% moderada, &gt;35% elevada).</w:t>
      </w:r>
    </w:p>
    <w:p>
      <w:r>
        <w:rPr>
          <w:b/>
        </w:rPr>
        <w:t xml:space="preserve">Concentração. </w:t>
      </w:r>
      <w:r>
        <w:t>A maior categoria representa 51,1% do total — concentração elevada (critério: &lt;25% baixa, 25–50% moderada, &gt;50% elevada).</w:t>
      </w:r>
    </w:p>
    <w:p>
      <w:r>
        <w:rPr>
          <w:b/>
        </w:rPr>
        <w:t xml:space="preserve">Valores atípicos. </w:t>
      </w:r>
      <w:r>
        <w:t>Não avaliados — o método de Tukey (1,5×IQR) precisa de pelo menos 5 categorias e há 3.</w:t>
      </w:r>
    </w:p>
    <w:p>
      <w:r>
        <w:rPr>
          <w:b/>
        </w:rPr>
        <w:t xml:space="preserve">Evolução. </w:t>
      </w:r>
      <w:r>
        <w:t>Não analisada — «Canal» é um eixo categórico, não uma linha do tempo. Tendências e regressões só têm significado quando a ordem das categorias é a ordem do tempo.</w:t>
      </w:r>
    </w:p>
    <w:p>
      <w:r>
        <w:br w:type="page"/>
      </w:r>
    </w:p>
    <w:p>
      <w:pPr>
        <w:pStyle w:val="Heading1"/>
      </w:pPr>
      <w:r>
        <w:t>Notas sobre os dados</w:t>
      </w:r>
    </w:p>
    <w:p>
      <w:r>
        <w:t>Não foram encontrados problemas nos dados de origem.</w:t>
      </w:r>
    </w:p>
    <w:p>
      <w:r>
        <w:t>Como os dados foram agrupados:</w:t>
      </w:r>
    </w:p>
    <w:p>
      <w:pPr>
        <w:pStyle w:val="ListBullet"/>
      </w:pPr>
      <w:r>
        <w:t>Valor vendido por mês, por canal: «Periodo» tratado como linha do tempo.</w:t>
      </w:r>
    </w:p>
    <w:p>
      <w:pPr>
        <w:pStyle w:val="ListBullet"/>
      </w:pPr>
      <w:r>
        <w:t>Valor vendido por mês, por canal: 108 linhas agrupadas em 36 categorias de «Periodo» (soma).</w:t>
      </w:r>
    </w:p>
    <w:p>
      <w:pPr>
        <w:pStyle w:val="ListBullet"/>
      </w:pPr>
      <w:r>
        <w:t>Valor vendido por canal: 108 linhas agrupadas em 3 categorias de «Canal» (soma).</w:t>
      </w:r>
    </w:p>
    <w:p>
      <w:pPr>
        <w:pStyle w:val="ListBullet"/>
      </w:pPr>
      <w:r>
        <w:t>Peso de cada canal nas encomendas: 108 linhas agrupadas em 3 categorias de «Canal» (soma).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