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mês,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Comparação entre séries. </w:t>
      </w:r>
      <w:r>
        <w:t>3 séries de «Canal». Por total: «Loja online» 1.142.185, 55,5%; «Marketplace» 620.021, 30,1%; «Loja fisica» 296.476, 14,4%. Do primeiro ao último período, «Marketplace» variou +324,6% e «Loja fisica» +118,6%.</w:t>
      </w:r>
    </w:p>
    <w:p>
      <w:r>
        <w:rPr>
          <w:b/>
        </w:rPr>
        <w:t xml:space="preserve">Por série. </w:t>
      </w:r>
      <w:r>
        <w:t>«Loja online»: máximo 63.197 em «2025-12», mínimo 15.840 em «2023-02», tendência crescente. «Marketplace»: máximo 36.433 em «2025-12», mínimo 7.920 em «2023-02», tendência crescente. «Loja fisica»: máximo 14.475 em «2023-12», mínimo 4.771 em «2025-02», tendência indefinida.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Meta. </w:t>
      </w:r>
      <w:r>
        <w:t>Meta definida: 2.000.000. O total é 2.058.682 — 102,9% da meta, 58.682 acima da meta.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+1.214,15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43.636,91 e 51.814,56; 2026-02 entre 40.737,36 e 48.318,97; 2026-03 entre 50.347,98 e 59.656,68; 2026-04 entre 57.846,42 e 68.474,73; 2026-05 entre 61.986,83 e 73.308,33; 2026-06 entre 69.748,41 e 82.415,86.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Meta. </w:t>
      </w:r>
      <w:r>
        <w:t>Meta definida: 600.000 por categoria. 2 de 3 categorias atingiram-na (66,7%). Mais distantes da meta: «Loja fisica» com 296.476 (303.524 abaixo). Somando o que faltou a cada uma, o défice total é 303.524. A média por categoria é 686.227,33, 114,4% da meta.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mês, por canal: «Periodo» tratado como linha do tempo.</w:t>
      </w:r>
    </w:p>
    <w:p>
      <w:pPr>
        <w:pStyle w:val="ListBullet"/>
      </w:pPr>
      <w:r>
        <w:t>Valor vendido por mês, por canal: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