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Vendas 2025</w:t>
      </w:r>
    </w:p>
    <w:p>
      <w:pPr>
        <w:pStyle w:val="Heading1"/>
      </w:pPr>
      <w:r>
        <w:t>Valor vendido por mês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«Valor» por «Mes», a partir de 36 linhas agrupadas em 12 categorias. O total é 637.020. O valor mais alto é 90.000, em «Dezembro», e o mais baixo é 31.700, em «Fevereiro».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Mes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Janeiro</w:t>
            </w:r>
          </w:p>
        </w:tc>
        <w:tc>
          <w:tcPr>
            <w:tcW w:type="dxa" w:w="4320"/>
          </w:tcPr>
          <w:p>
            <w:r>
              <w:t>33.820</w:t>
            </w:r>
          </w:p>
        </w:tc>
      </w:tr>
      <w:tr>
        <w:tc>
          <w:tcPr>
            <w:tcW w:type="dxa" w:w="4320"/>
          </w:tcPr>
          <w:p>
            <w:r>
              <w:t>Fevereiro</w:t>
            </w:r>
          </w:p>
        </w:tc>
        <w:tc>
          <w:tcPr>
            <w:tcW w:type="dxa" w:w="4320"/>
          </w:tcPr>
          <w:p>
            <w:r>
              <w:t>31.700</w:t>
            </w:r>
          </w:p>
        </w:tc>
      </w:tr>
      <w:tr>
        <w:tc>
          <w:tcPr>
            <w:tcW w:type="dxa" w:w="4320"/>
          </w:tcPr>
          <w:p>
            <w:r>
              <w:t>Marco</w:t>
            </w:r>
          </w:p>
        </w:tc>
        <w:tc>
          <w:tcPr>
            <w:tcW w:type="dxa" w:w="4320"/>
          </w:tcPr>
          <w:p>
            <w:r>
              <w:t>38.600</w:t>
            </w:r>
          </w:p>
        </w:tc>
      </w:tr>
      <w:tr>
        <w:tc>
          <w:tcPr>
            <w:tcW w:type="dxa" w:w="4320"/>
          </w:tcPr>
          <w:p>
            <w:r>
              <w:t>Abril</w:t>
            </w:r>
          </w:p>
        </w:tc>
        <w:tc>
          <w:tcPr>
            <w:tcW w:type="dxa" w:w="4320"/>
          </w:tcPr>
          <w:p>
            <w:r>
              <w:t>44.750</w:t>
            </w:r>
          </w:p>
        </w:tc>
      </w:tr>
      <w:tr>
        <w:tc>
          <w:tcPr>
            <w:tcW w:type="dxa" w:w="4320"/>
          </w:tcPr>
          <w:p>
            <w:r>
              <w:t>Maio</w:t>
            </w:r>
          </w:p>
        </w:tc>
        <w:tc>
          <w:tcPr>
            <w:tcW w:type="dxa" w:w="4320"/>
          </w:tcPr>
          <w:p>
            <w:r>
              <w:t>47.600</w:t>
            </w:r>
          </w:p>
        </w:tc>
      </w:tr>
      <w:tr>
        <w:tc>
          <w:tcPr>
            <w:tcW w:type="dxa" w:w="4320"/>
          </w:tcPr>
          <w:p>
            <w:r>
              <w:t>Junho</w:t>
            </w:r>
          </w:p>
        </w:tc>
        <w:tc>
          <w:tcPr>
            <w:tcW w:type="dxa" w:w="4320"/>
          </w:tcPr>
          <w:p>
            <w:r>
              <w:t>53.700</w:t>
            </w:r>
          </w:p>
        </w:tc>
      </w:tr>
      <w:tr>
        <w:tc>
          <w:tcPr>
            <w:tcW w:type="dxa" w:w="4320"/>
          </w:tcPr>
          <w:p>
            <w:r>
              <w:t>Julho</w:t>
            </w:r>
          </w:p>
        </w:tc>
        <w:tc>
          <w:tcPr>
            <w:tcW w:type="dxa" w:w="4320"/>
          </w:tcPr>
          <w:p>
            <w:r>
              <w:t>62.500</w:t>
            </w:r>
          </w:p>
        </w:tc>
      </w:tr>
      <w:tr>
        <w:tc>
          <w:tcPr>
            <w:tcW w:type="dxa" w:w="4320"/>
          </w:tcPr>
          <w:p>
            <w:r>
              <w:t>Agosto</w:t>
            </w:r>
          </w:p>
        </w:tc>
        <w:tc>
          <w:tcPr>
            <w:tcW w:type="dxa" w:w="4320"/>
          </w:tcPr>
          <w:p>
            <w:r>
              <w:t>61.150</w:t>
            </w:r>
          </w:p>
        </w:tc>
      </w:tr>
      <w:tr>
        <w:tc>
          <w:tcPr>
            <w:tcW w:type="dxa" w:w="4320"/>
          </w:tcPr>
          <w:p>
            <w:r>
              <w:t>Setembro</w:t>
            </w:r>
          </w:p>
        </w:tc>
        <w:tc>
          <w:tcPr>
            <w:tcW w:type="dxa" w:w="4320"/>
          </w:tcPr>
          <w:p>
            <w:r>
              <w:t>48.700</w:t>
            </w:r>
          </w:p>
        </w:tc>
      </w:tr>
      <w:tr>
        <w:tc>
          <w:tcPr>
            <w:tcW w:type="dxa" w:w="4320"/>
          </w:tcPr>
          <w:p>
            <w:r>
              <w:t>Outubro</w:t>
            </w:r>
          </w:p>
        </w:tc>
        <w:tc>
          <w:tcPr>
            <w:tcW w:type="dxa" w:w="4320"/>
          </w:tcPr>
          <w:p>
            <w:r>
              <w:t>52.900</w:t>
            </w:r>
          </w:p>
        </w:tc>
      </w:tr>
      <w:tr>
        <w:tc>
          <w:tcPr>
            <w:tcW w:type="dxa" w:w="4320"/>
          </w:tcPr>
          <w:p>
            <w:r>
              <w:t>Novembro</w:t>
            </w:r>
          </w:p>
        </w:tc>
        <w:tc>
          <w:tcPr>
            <w:tcW w:type="dxa" w:w="4320"/>
          </w:tcPr>
          <w:p>
            <w:r>
              <w:t>71.600</w:t>
            </w:r>
          </w:p>
        </w:tc>
      </w:tr>
      <w:tr>
        <w:tc>
          <w:tcPr>
            <w:tcW w:type="dxa" w:w="4320"/>
          </w:tcPr>
          <w:p>
            <w:r>
              <w:t>Dezembro</w:t>
            </w:r>
          </w:p>
        </w:tc>
        <w:tc>
          <w:tcPr>
            <w:tcW w:type="dxa" w:w="4320"/>
          </w:tcPr>
          <w:p>
            <w:r>
              <w:t>90.000</w:t>
            </w:r>
          </w:p>
        </w:tc>
      </w:tr>
    </w:tbl>
    <w:p>
      <w:r>
        <w:br w:type="page"/>
      </w:r>
    </w:p>
    <w:p>
      <w:pPr>
        <w:pStyle w:val="Heading1"/>
      </w:pPr>
      <w:r>
        <w:t>Encomendas por mês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«Encomendas» por «Mes», a partir de 36 linhas agrupadas em 12 categorias. O total é 15.080. O valor mais alto é 2.109, em «Dezembro», e o mais baixo é 768, em «Fevereiro».</w:t>
      </w:r>
    </w:p>
    <w:p>
      <w:r>
        <w:rPr>
          <w:i/>
        </w:rPr>
        <w:t>o pico do fim do ano coincide com a campanha de Natal</w:t>
      </w:r>
    </w:p>
    <w:p>
      <w:r>
        <w:br w:type="page"/>
      </w:r>
    </w:p>
    <w:p>
      <w:pPr>
        <w:pStyle w:val="Heading1"/>
      </w:pPr>
      <w:r>
        <w:t>Peso de cada canal no valor total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«Valor» por «Canal», a partir de 36 linhas agrupadas em 3 categorias. O total é 637.020. O valor mais alto é 358.070, em «Loja online», e o mais baixo é 113.350, em «Loja fisica». A maior fatia, «Loja online», representa 56,20% do total.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Canal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Loja online</w:t>
            </w:r>
          </w:p>
        </w:tc>
        <w:tc>
          <w:tcPr>
            <w:tcW w:type="dxa" w:w="4320"/>
          </w:tcPr>
          <w:p>
            <w:r>
              <w:t>358.070</w:t>
            </w:r>
          </w:p>
        </w:tc>
      </w:tr>
      <w:tr>
        <w:tc>
          <w:tcPr>
            <w:tcW w:type="dxa" w:w="4320"/>
          </w:tcPr>
          <w:p>
            <w:r>
              <w:t>Marketplace</w:t>
            </w:r>
          </w:p>
        </w:tc>
        <w:tc>
          <w:tcPr>
            <w:tcW w:type="dxa" w:w="4320"/>
          </w:tcPr>
          <w:p>
            <w:r>
              <w:t>165.600</w:t>
            </w:r>
          </w:p>
        </w:tc>
      </w:tr>
      <w:tr>
        <w:tc>
          <w:tcPr>
            <w:tcW w:type="dxa" w:w="4320"/>
          </w:tcPr>
          <w:p>
            <w:r>
              <w:t>Loja fisica</w:t>
            </w:r>
          </w:p>
        </w:tc>
        <w:tc>
          <w:tcPr>
            <w:tcW w:type="dxa" w:w="4320"/>
          </w:tcPr>
          <w:p>
            <w:r>
              <w:t>113.350</w:t>
            </w:r>
          </w:p>
        </w:tc>
      </w:tr>
    </w:tbl>
    <w:p>
      <w:r>
        <w:br w:type="page"/>
      </w:r>
    </w:p>
    <w:p>
      <w:pPr>
        <w:pStyle w:val="Heading1"/>
      </w:pPr>
      <w:r>
        <w:t>Notas sobre os dados</w:t>
      </w:r>
    </w:p>
    <w:p>
      <w:r>
        <w:t>Não foram encontrados problemas nos dados de origem.</w:t>
      </w:r>
    </w:p>
    <w:p>
      <w:r>
        <w:t>Como os dados foram agrupados:</w:t>
      </w:r>
    </w:p>
    <w:p>
      <w:pPr>
        <w:pStyle w:val="ListBullet"/>
      </w:pPr>
      <w:r>
        <w:t>Valor vendido por mês: 36 linhas agrupadas em 12 categorias de «Mes» (soma).</w:t>
      </w:r>
    </w:p>
    <w:p>
      <w:pPr>
        <w:pStyle w:val="ListBullet"/>
      </w:pPr>
      <w:r>
        <w:t>Encomendas por mês: 36 linhas agrupadas em 12 categorias de «Mes» (soma).</w:t>
      </w:r>
    </w:p>
    <w:p>
      <w:pPr>
        <w:pStyle w:val="ListBullet"/>
      </w:pPr>
      <w:r>
        <w:t>Peso de cada canal no valor total: 36 linhas agrupadas em 3 categorias de «Canal» (soma).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