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n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as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</w:t>
            </w:r>
            <w:r w:rsidRPr="0099369E">
              <w:rPr>
                <w:rFonts w:eastAsia="Arial" w:cstheme="minorHAnsi"/>
                <w:spacing w:val="2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õ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ti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s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Alta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rPr>
                <w:rFonts w:cstheme="minorHAnsi"/>
              </w:rPr>
            </w:pPr>
            <w:r w:rsidRPr="0099369E">
              <w:rPr>
                <w:rFonts w:cstheme="minorHAnsi"/>
              </w:rPr>
              <w:t>Login válido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013072" w:rsidRPr="0099369E" w:rsidRDefault="00013072" w:rsidP="00013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887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c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ica</w:t>
            </w:r>
            <w:r w:rsidRPr="0099369E">
              <w:rPr>
                <w:rFonts w:eastAsia="Arial" w:cstheme="minorHAnsi"/>
                <w:spacing w:val="1"/>
              </w:rPr>
              <w:t xml:space="preserve"> 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b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“</w:t>
            </w:r>
            <w:r w:rsidRPr="0099369E">
              <w:rPr>
                <w:rFonts w:eastAsia="Arial" w:cstheme="minorHAnsi"/>
                <w:spacing w:val="-2"/>
              </w:rPr>
              <w:t>Consultar</w:t>
            </w:r>
            <w:r w:rsidRPr="0099369E">
              <w:rPr>
                <w:rFonts w:eastAsia="Arial" w:cstheme="minorHAnsi"/>
              </w:rPr>
              <w:t xml:space="preserve"> promoç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s”</w:t>
            </w:r>
          </w:p>
          <w:p w:rsidR="00013072" w:rsidRPr="0099369E" w:rsidRDefault="00013072" w:rsidP="00013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1314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</w:rPr>
              <w:t>stra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t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</w:t>
            </w:r>
          </w:p>
          <w:p w:rsidR="00013072" w:rsidRPr="0099369E" w:rsidRDefault="00013072" w:rsidP="00013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sel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cio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p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</w:t>
            </w:r>
            <w:r w:rsidRPr="0099369E">
              <w:rPr>
                <w:rFonts w:eastAsia="Arial" w:cstheme="minorHAnsi"/>
              </w:rPr>
              <w:t xml:space="preserve">e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 xml:space="preserve">stá 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st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2"/>
              </w:rPr>
              <w:t>“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  <w:spacing w:val="-3"/>
              </w:rPr>
              <w:t>r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ad</w:t>
            </w:r>
            <w:r w:rsidRPr="0099369E">
              <w:rPr>
                <w:rFonts w:eastAsia="Arial" w:cstheme="minorHAnsi"/>
                <w:spacing w:val="2"/>
              </w:rPr>
              <w:t>a</w:t>
            </w:r>
            <w:r w:rsidRPr="0099369E">
              <w:rPr>
                <w:rFonts w:eastAsia="Arial" w:cstheme="minorHAnsi"/>
              </w:rPr>
              <w:t>”</w:t>
            </w:r>
          </w:p>
          <w:p w:rsidR="00013072" w:rsidRPr="0099369E" w:rsidRDefault="00013072" w:rsidP="00013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h</w:t>
            </w:r>
            <w:r w:rsidRPr="0099369E">
              <w:rPr>
                <w:rFonts w:eastAsia="Arial" w:cstheme="minorHAnsi"/>
                <w:spacing w:val="1"/>
              </w:rPr>
              <w:t>ab</w:t>
            </w:r>
            <w:r w:rsidRPr="0099369E">
              <w:rPr>
                <w:rFonts w:eastAsia="Arial" w:cstheme="minorHAnsi"/>
              </w:rPr>
              <w:t>i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ita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“</w:t>
            </w: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  <w:spacing w:val="3"/>
              </w:rPr>
              <w:t>o</w:t>
            </w:r>
            <w:r w:rsidRPr="0099369E">
              <w:rPr>
                <w:rFonts w:eastAsia="Arial" w:cstheme="minorHAnsi"/>
              </w:rPr>
              <w:t>”</w:t>
            </w:r>
          </w:p>
          <w:p w:rsidR="00013072" w:rsidRPr="0099369E" w:rsidRDefault="00013072" w:rsidP="0001307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>
              <w:rPr>
                <w:rFonts w:eastAsia="Arial" w:cstheme="minorHAnsi"/>
                <w:spacing w:val="1"/>
              </w:rPr>
              <w:t>lança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a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  <w:p w:rsidR="00013072" w:rsidRPr="00116568" w:rsidRDefault="00013072" w:rsidP="00013072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88" w:lineRule="auto"/>
              <w:rPr>
                <w:rFonts w:eastAsia="Arial" w:cstheme="minorHAnsi"/>
              </w:r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Pr="00C8053B">
              <w:rPr>
                <w:rFonts w:ascii="Calibri" w:hAnsi="Calibri" w:cs="Calibri"/>
                <w:color w:val="000000"/>
              </w:rPr>
              <w:t>a promoção selecionada no histórico com o estado "Enviada"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013072" w:rsidRDefault="00013072" w:rsidP="000D6B60">
            <w:pPr>
              <w:spacing w:line="260" w:lineRule="exact"/>
              <w:ind w:left="102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po</w:t>
            </w:r>
            <w:r w:rsidRPr="0099369E">
              <w:rPr>
                <w:rFonts w:eastAsia="Arial" w:cstheme="minorHAnsi"/>
                <w:spacing w:val="-1"/>
              </w:rPr>
              <w:t>d</w:t>
            </w:r>
            <w:r w:rsidRPr="0099369E">
              <w:rPr>
                <w:rFonts w:eastAsia="Arial" w:cstheme="minorHAnsi"/>
              </w:rPr>
              <w:t>e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clicar 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“Ca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c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lar”</w:t>
            </w:r>
            <w:r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ua</w:t>
            </w:r>
            <w:r w:rsidRPr="0099369E">
              <w:rPr>
                <w:rFonts w:eastAsia="Arial" w:cstheme="minorHAnsi"/>
              </w:rPr>
              <w:t>l</w:t>
            </w:r>
            <w:r w:rsidRPr="0099369E">
              <w:rPr>
                <w:rFonts w:eastAsia="Arial" w:cstheme="minorHAnsi"/>
                <w:spacing w:val="-2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ue</w:t>
            </w:r>
            <w:r w:rsidRPr="0099369E">
              <w:rPr>
                <w:rFonts w:eastAsia="Arial" w:cstheme="minorHAnsi"/>
              </w:rPr>
              <w:t xml:space="preserve">r 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en</w:t>
            </w:r>
            <w:r w:rsidRPr="0099369E">
              <w:rPr>
                <w:rFonts w:eastAsia="Arial" w:cstheme="minorHAnsi"/>
                <w:spacing w:val="-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.</w:t>
            </w:r>
          </w:p>
          <w:p w:rsidR="00013072" w:rsidRPr="005658D4" w:rsidRDefault="00013072" w:rsidP="000D6B60">
            <w:pPr>
              <w:spacing w:line="260" w:lineRule="exact"/>
              <w:ind w:left="102"/>
              <w:rPr>
                <w:rFonts w:eastAsia="Arial" w:cstheme="minorHAnsi"/>
              </w:rPr>
            </w:pPr>
            <w:r w:rsidRPr="005658D4">
              <w:rPr>
                <w:rFonts w:eastAsia="Arial" w:cstheme="minorHAnsi"/>
              </w:rPr>
              <w:t>3.a)Não existem promoções no estado “Aprovada”</w:t>
            </w:r>
          </w:p>
          <w:p w:rsidR="00013072" w:rsidRPr="0099369E" w:rsidRDefault="00013072" w:rsidP="000D6B60">
            <w:pPr>
              <w:spacing w:line="260" w:lineRule="exact"/>
              <w:ind w:left="102"/>
              <w:rPr>
                <w:rFonts w:cstheme="minorHAnsi"/>
              </w:rPr>
            </w:pPr>
            <w:r w:rsidRPr="005658D4">
              <w:rPr>
                <w:rFonts w:eastAsia="Arial" w:cstheme="minorHAnsi"/>
              </w:rPr>
              <w:t>5.a)</w:t>
            </w:r>
            <w:r>
              <w:rPr>
                <w:rFonts w:eastAsia="Arial" w:cstheme="minorHAnsi"/>
              </w:rPr>
              <w:t xml:space="preserve"> O ator não lança a promoção, então continua no estado </w:t>
            </w:r>
            <w:r w:rsidRPr="0099369E">
              <w:rPr>
                <w:rFonts w:eastAsia="Arial" w:cstheme="minorHAnsi"/>
                <w:spacing w:val="2"/>
              </w:rPr>
              <w:t>“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  <w:spacing w:val="-3"/>
              </w:rPr>
              <w:t>r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ad</w:t>
            </w:r>
            <w:r w:rsidRPr="0099369E">
              <w:rPr>
                <w:rFonts w:eastAsia="Arial" w:cstheme="minorHAnsi"/>
                <w:spacing w:val="2"/>
              </w:rPr>
              <w:t>a</w:t>
            </w:r>
            <w:r w:rsidRPr="0099369E">
              <w:rPr>
                <w:rFonts w:eastAsia="Arial" w:cstheme="minorHAnsi"/>
              </w:rPr>
              <w:t>”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rPr>
                <w:rFonts w:cstheme="minorHAnsi"/>
              </w:rPr>
            </w:pPr>
            <w:r>
              <w:rPr>
                <w:rFonts w:cstheme="minorHAnsi"/>
              </w:rPr>
              <w:t>É enviada uma pensagem promocional para os contactos seleccionados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013072" w:rsidRPr="0099369E" w:rsidRDefault="00013072" w:rsidP="000D6B60">
            <w:pPr>
              <w:ind w:left="360"/>
              <w:rPr>
                <w:rFonts w:cstheme="minorHAnsi"/>
              </w:rPr>
            </w:pPr>
          </w:p>
        </w:tc>
      </w:tr>
    </w:tbl>
    <w:p w:rsidR="008A77F4" w:rsidRDefault="000130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013072" w:rsidRDefault="00013072" w:rsidP="000D6B60">
            <w:r>
              <w:t>Enviar previsão meteorológica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013072" w:rsidRDefault="00013072" w:rsidP="000D6B60">
            <w:r>
              <w:t>O Weather API envia previsão meteorológica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013072" w:rsidRDefault="00013072" w:rsidP="000D6B60">
            <w:r>
              <w:t>Média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013072" w:rsidRDefault="00013072" w:rsidP="000D6B60"/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013072" w:rsidRDefault="00013072" w:rsidP="0001307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 sistema pede a previsão meteorológica ao Weather API</w:t>
            </w:r>
          </w:p>
          <w:p w:rsidR="00013072" w:rsidRDefault="00013072" w:rsidP="0001307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 Weather API fornece a previsão meteorológica</w:t>
            </w:r>
          </w:p>
          <w:p w:rsidR="00013072" w:rsidRDefault="00013072" w:rsidP="00013072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t>O sistema analisa os dados da previsão consoante os requisitos predefinidos, guarda-a e gera a recomendação.</w:t>
            </w:r>
          </w:p>
          <w:p w:rsidR="00013072" w:rsidRDefault="00013072" w:rsidP="000D6B60">
            <w:pPr>
              <w:pStyle w:val="ListParagraph"/>
              <w:ind w:left="360"/>
            </w:pP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013072" w:rsidRDefault="00013072" w:rsidP="000D6B60">
            <w:r>
              <w:t>3.a. O sistema não consegue determinar possíveis promoções e descarta os dados da previsão recebida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013072" w:rsidRDefault="00013072" w:rsidP="000D6B60">
            <w:r>
              <w:t>É enviada uma notificação ao gestor de marketing</w:t>
            </w:r>
          </w:p>
        </w:tc>
      </w:tr>
      <w:tr w:rsidR="00013072" w:rsidTr="000D6B60">
        <w:tc>
          <w:tcPr>
            <w:tcW w:w="1980" w:type="dxa"/>
            <w:shd w:val="solid" w:color="BFBFBF" w:themeColor="background1" w:themeShade="BF" w:fill="auto"/>
          </w:tcPr>
          <w:p w:rsidR="00013072" w:rsidRPr="00F13387" w:rsidRDefault="00013072" w:rsidP="000D6B60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013072" w:rsidRDefault="00013072" w:rsidP="000D6B60">
            <w:r>
              <w:t>Testar a análise de dados do sistema para a sugestão de promoções</w:t>
            </w:r>
          </w:p>
        </w:tc>
      </w:tr>
    </w:tbl>
    <w:p w:rsidR="00013072" w:rsidRDefault="00013072">
      <w:bookmarkStart w:id="0" w:name="_GoBack"/>
      <w:bookmarkEnd w:id="0"/>
    </w:p>
    <w:sectPr w:rsidR="00013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072"/>
    <w:rsid w:val="00013072"/>
    <w:rsid w:val="001E38B3"/>
    <w:rsid w:val="005C71D4"/>
    <w:rsid w:val="00AB5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72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3072"/>
    <w:pPr>
      <w:ind w:left="720"/>
      <w:contextualSpacing/>
    </w:pPr>
  </w:style>
  <w:style w:type="table" w:styleId="TableGrid">
    <w:name w:val="Table Grid"/>
    <w:basedOn w:val="TableNormal"/>
    <w:uiPriority w:val="39"/>
    <w:rsid w:val="000130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13072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072"/>
    <w:pPr>
      <w:spacing w:after="160" w:line="259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13072"/>
    <w:pPr>
      <w:ind w:left="720"/>
      <w:contextualSpacing/>
    </w:pPr>
  </w:style>
  <w:style w:type="table" w:styleId="TableGrid">
    <w:name w:val="Table Grid"/>
    <w:basedOn w:val="TableNormal"/>
    <w:uiPriority w:val="39"/>
    <w:rsid w:val="0001307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013072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</Words>
  <Characters>1127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VascoF</dc:creator>
  <cp:lastModifiedBy>VascoF</cp:lastModifiedBy>
  <cp:revision>1</cp:revision>
  <dcterms:created xsi:type="dcterms:W3CDTF">2014-12-20T00:42:00Z</dcterms:created>
  <dcterms:modified xsi:type="dcterms:W3CDTF">2014-12-20T00:45:00Z</dcterms:modified>
</cp:coreProperties>
</file>