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9D93" w14:textId="3B46B12A" w:rsidR="00C87930" w:rsidRDefault="00F9715D" w:rsidP="00DA504B">
      <w:pPr>
        <w:jc w:val="center"/>
        <w:rPr>
          <w:b/>
          <w:bCs/>
          <w:sz w:val="36"/>
          <w:szCs w:val="36"/>
        </w:rPr>
      </w:pPr>
      <w:r w:rsidRPr="00F9715D">
        <w:rPr>
          <w:b/>
          <w:bCs/>
          <w:sz w:val="36"/>
          <w:szCs w:val="36"/>
        </w:rPr>
        <w:t>FINANCIAL PERFORMANCE &amp; ESG RISK ANALYSIS</w:t>
      </w:r>
    </w:p>
    <w:p w14:paraId="3F71AF72" w14:textId="77777777" w:rsidR="00DA504B" w:rsidRDefault="00DA504B" w:rsidP="00DA504B">
      <w:pPr>
        <w:rPr>
          <w:sz w:val="28"/>
          <w:szCs w:val="28"/>
        </w:rPr>
      </w:pPr>
      <w:r w:rsidRPr="00DA504B">
        <w:rPr>
          <w:b/>
          <w:bCs/>
          <w:sz w:val="28"/>
          <w:szCs w:val="28"/>
        </w:rPr>
        <w:t>Your New Project Goal:</w:t>
      </w:r>
      <w:r w:rsidRPr="00DA504B">
        <w:rPr>
          <w:sz w:val="28"/>
          <w:szCs w:val="28"/>
        </w:rPr>
        <w:t xml:space="preserve"> </w:t>
      </w:r>
    </w:p>
    <w:p w14:paraId="434BB9FA" w14:textId="24B152F1" w:rsidR="00F9715D" w:rsidRDefault="00F9715D" w:rsidP="00DA504B">
      <w:pPr>
        <w:rPr>
          <w:sz w:val="28"/>
          <w:szCs w:val="28"/>
        </w:rPr>
      </w:pPr>
      <w:r w:rsidRPr="00F9715D">
        <w:rPr>
          <w:sz w:val="28"/>
          <w:szCs w:val="28"/>
        </w:rPr>
        <w:t>Identify which industries and regions are most profitable, and determine whether companies with higher ESG (Environmental, Social &amp; Governance) scores tend to achieve better net profit margins — enabling data-driven business and investment decisions.</w:t>
      </w:r>
    </w:p>
    <w:p w14:paraId="418F062D" w14:textId="77777777" w:rsidR="00F9715D" w:rsidRPr="00ED039D" w:rsidRDefault="00F9715D" w:rsidP="00DA504B">
      <w:pPr>
        <w:rPr>
          <w:sz w:val="28"/>
          <w:szCs w:val="28"/>
        </w:rPr>
      </w:pPr>
      <w:r w:rsidRPr="00ED039D">
        <w:rPr>
          <w:b/>
          <w:bCs/>
          <w:sz w:val="28"/>
          <w:szCs w:val="28"/>
        </w:rPr>
        <w:t>Tools:</w:t>
      </w:r>
      <w:r w:rsidRPr="00ED039D">
        <w:rPr>
          <w:sz w:val="28"/>
          <w:szCs w:val="28"/>
        </w:rPr>
        <w:t xml:space="preserve"> Microsoft Excel · PostgreSQL · Tableau </w:t>
      </w:r>
    </w:p>
    <w:p w14:paraId="6479113D" w14:textId="13972EAC" w:rsidR="00F9715D" w:rsidRPr="00ED039D" w:rsidRDefault="00F9715D" w:rsidP="00DA504B">
      <w:pPr>
        <w:rPr>
          <w:sz w:val="28"/>
          <w:szCs w:val="28"/>
        </w:rPr>
      </w:pPr>
      <w:r w:rsidRPr="00ED039D">
        <w:rPr>
          <w:b/>
          <w:bCs/>
          <w:sz w:val="28"/>
          <w:szCs w:val="28"/>
        </w:rPr>
        <w:t>Duration:</w:t>
      </w:r>
      <w:r w:rsidRPr="00ED039D">
        <w:rPr>
          <w:sz w:val="28"/>
          <w:szCs w:val="28"/>
        </w:rPr>
        <w:t xml:space="preserve"> 2 Weeks </w:t>
      </w:r>
    </w:p>
    <w:p w14:paraId="64546C89" w14:textId="77777777" w:rsidR="00F9715D" w:rsidRPr="00ED039D" w:rsidRDefault="00F9715D" w:rsidP="00DA504B">
      <w:pPr>
        <w:rPr>
          <w:sz w:val="28"/>
          <w:szCs w:val="28"/>
        </w:rPr>
      </w:pPr>
      <w:r w:rsidRPr="00ED039D">
        <w:rPr>
          <w:sz w:val="28"/>
          <w:szCs w:val="28"/>
        </w:rPr>
        <w:t xml:space="preserve"> </w:t>
      </w:r>
      <w:r w:rsidRPr="00ED039D">
        <w:rPr>
          <w:b/>
          <w:bCs/>
          <w:sz w:val="28"/>
          <w:szCs w:val="28"/>
        </w:rPr>
        <w:t>Dataset:</w:t>
      </w:r>
      <w:r w:rsidRPr="00ED039D">
        <w:rPr>
          <w:sz w:val="28"/>
          <w:szCs w:val="28"/>
        </w:rPr>
        <w:t xml:space="preserve"> 41,056 records · 30 fields · 2015–2024</w:t>
      </w:r>
    </w:p>
    <w:p w14:paraId="3F117C54" w14:textId="02BE9485" w:rsidR="00F9715D" w:rsidRPr="00ED039D" w:rsidRDefault="00F9715D" w:rsidP="00DA504B">
      <w:pPr>
        <w:rPr>
          <w:sz w:val="28"/>
          <w:szCs w:val="28"/>
        </w:rPr>
      </w:pPr>
      <w:r w:rsidRPr="00ED039D">
        <w:rPr>
          <w:b/>
          <w:bCs/>
          <w:sz w:val="28"/>
          <w:szCs w:val="28"/>
        </w:rPr>
        <w:t>Analyst Level:</w:t>
      </w:r>
      <w:r w:rsidRPr="00ED039D">
        <w:rPr>
          <w:sz w:val="28"/>
          <w:szCs w:val="28"/>
        </w:rPr>
        <w:t xml:space="preserve"> Junior Data Analyst</w:t>
      </w:r>
    </w:p>
    <w:p w14:paraId="125C2DC8" w14:textId="77777777" w:rsidR="006E23BF" w:rsidRPr="006E23BF" w:rsidRDefault="006E23BF" w:rsidP="006E23BF">
      <w:pPr>
        <w:rPr>
          <w:b/>
          <w:bCs/>
          <w:sz w:val="28"/>
          <w:szCs w:val="28"/>
        </w:rPr>
      </w:pPr>
      <w:r w:rsidRPr="006E23BF">
        <w:rPr>
          <w:b/>
          <w:bCs/>
          <w:sz w:val="28"/>
          <w:szCs w:val="28"/>
        </w:rPr>
        <w:t>TOOLS &amp; DATA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347"/>
        <w:gridCol w:w="8860"/>
      </w:tblGrid>
      <w:tr w:rsidR="006E23BF" w:rsidRPr="006E23BF" w14:paraId="3E47E2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CBF28" w14:textId="77777777" w:rsidR="006E23BF" w:rsidRPr="006E23BF" w:rsidRDefault="006E23BF" w:rsidP="006E23BF">
            <w:pPr>
              <w:rPr>
                <w:b/>
                <w:bCs/>
                <w:sz w:val="28"/>
                <w:szCs w:val="28"/>
              </w:rPr>
            </w:pPr>
            <w:r w:rsidRPr="006E23BF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E6E2CFC" w14:textId="77777777" w:rsidR="006E23BF" w:rsidRPr="006E23BF" w:rsidRDefault="006E23BF" w:rsidP="006E23BF">
            <w:pPr>
              <w:rPr>
                <w:b/>
                <w:bCs/>
                <w:sz w:val="28"/>
                <w:szCs w:val="28"/>
              </w:rPr>
            </w:pPr>
            <w:r w:rsidRPr="006E23BF">
              <w:rPr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3C09603" w14:textId="77777777" w:rsidR="006E23BF" w:rsidRPr="006E23BF" w:rsidRDefault="006E23BF" w:rsidP="006E23BF">
            <w:pPr>
              <w:rPr>
                <w:b/>
                <w:bCs/>
                <w:sz w:val="28"/>
                <w:szCs w:val="28"/>
              </w:rPr>
            </w:pPr>
            <w:r w:rsidRPr="006E23BF">
              <w:rPr>
                <w:b/>
                <w:bCs/>
                <w:sz w:val="28"/>
                <w:szCs w:val="28"/>
              </w:rPr>
              <w:t>Role</w:t>
            </w:r>
          </w:p>
        </w:tc>
      </w:tr>
      <w:tr w:rsidR="006E23BF" w:rsidRPr="006E23BF" w14:paraId="24EB3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7599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F75949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0828EBD0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 xml:space="preserve">Raw data cleaning — removed duplicates, fixed formatting, </w:t>
            </w:r>
            <w:proofErr w:type="spellStart"/>
            <w:r w:rsidRPr="006E23BF">
              <w:rPr>
                <w:sz w:val="28"/>
                <w:szCs w:val="28"/>
              </w:rPr>
              <w:t>standardised</w:t>
            </w:r>
            <w:proofErr w:type="spellEnd"/>
            <w:r w:rsidRPr="006E23BF">
              <w:rPr>
                <w:sz w:val="28"/>
                <w:szCs w:val="28"/>
              </w:rPr>
              <w:t xml:space="preserve"> column names, handled nulls</w:t>
            </w:r>
          </w:p>
        </w:tc>
      </w:tr>
      <w:tr w:rsidR="006E23BF" w:rsidRPr="006E23BF" w14:paraId="3829B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8354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372CE4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EC21EF0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Added 11 calculated columns via SQL ALTER TABLE &amp; UPDATE (margins, ESG tiers, risk profiles, flags)</w:t>
            </w:r>
          </w:p>
        </w:tc>
      </w:tr>
      <w:tr w:rsidR="006E23BF" w:rsidRPr="006E23BF" w14:paraId="16B09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4DD6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22D2BF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Tableau</w:t>
            </w:r>
          </w:p>
        </w:tc>
        <w:tc>
          <w:tcPr>
            <w:tcW w:w="0" w:type="auto"/>
            <w:vAlign w:val="center"/>
            <w:hideMark/>
          </w:tcPr>
          <w:p w14:paraId="56FBD894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Built 5 worksheets and 2 interactive dashboards to answer both questions</w:t>
            </w:r>
          </w:p>
        </w:tc>
      </w:tr>
    </w:tbl>
    <w:p w14:paraId="1975A96D" w14:textId="77777777" w:rsidR="00F9715D" w:rsidRDefault="00F9715D" w:rsidP="00DA504B">
      <w:pPr>
        <w:rPr>
          <w:sz w:val="28"/>
          <w:szCs w:val="28"/>
        </w:rPr>
      </w:pPr>
    </w:p>
    <w:p w14:paraId="60B4AE10" w14:textId="77777777" w:rsidR="006E23BF" w:rsidRPr="00ED039D" w:rsidRDefault="006E23BF" w:rsidP="006E23BF">
      <w:pPr>
        <w:rPr>
          <w:sz w:val="28"/>
          <w:szCs w:val="28"/>
        </w:rPr>
      </w:pPr>
      <w:r w:rsidRPr="00ED039D">
        <w:rPr>
          <w:b/>
          <w:bCs/>
          <w:sz w:val="28"/>
          <w:szCs w:val="28"/>
        </w:rPr>
        <w:t>Dataset:</w:t>
      </w:r>
      <w:r w:rsidRPr="00ED039D">
        <w:rPr>
          <w:sz w:val="28"/>
          <w:szCs w:val="28"/>
        </w:rPr>
        <w:t xml:space="preserve"> 41,056 rows · 6 industries · 3 regions · 6 countries · 8,909 unique companies · 2015–2024 </w:t>
      </w:r>
    </w:p>
    <w:p w14:paraId="5AE5D09A" w14:textId="0293D825" w:rsidR="006E23BF" w:rsidRPr="00ED039D" w:rsidRDefault="006E23BF" w:rsidP="006E23BF">
      <w:pPr>
        <w:rPr>
          <w:sz w:val="28"/>
          <w:szCs w:val="28"/>
        </w:rPr>
      </w:pPr>
      <w:r w:rsidRPr="00ED039D">
        <w:rPr>
          <w:b/>
          <w:bCs/>
          <w:sz w:val="28"/>
          <w:szCs w:val="28"/>
        </w:rPr>
        <w:t>Total Revenue:</w:t>
      </w:r>
      <w:r w:rsidRPr="00ED039D">
        <w:rPr>
          <w:sz w:val="28"/>
          <w:szCs w:val="28"/>
        </w:rPr>
        <w:t xml:space="preserve"> $7.36B ·</w:t>
      </w:r>
    </w:p>
    <w:p w14:paraId="0643AFBD" w14:textId="6DB98E45" w:rsidR="006E23BF" w:rsidRPr="00ED039D" w:rsidRDefault="006E23BF" w:rsidP="006E23BF">
      <w:pPr>
        <w:rPr>
          <w:sz w:val="28"/>
          <w:szCs w:val="28"/>
        </w:rPr>
      </w:pPr>
      <w:r w:rsidRPr="00ED039D">
        <w:rPr>
          <w:b/>
          <w:bCs/>
          <w:sz w:val="28"/>
          <w:szCs w:val="28"/>
        </w:rPr>
        <w:t>Avg Net Margin:</w:t>
      </w:r>
      <w:r w:rsidRPr="00ED039D">
        <w:rPr>
          <w:sz w:val="28"/>
          <w:szCs w:val="28"/>
        </w:rPr>
        <w:t xml:space="preserve"> −7.58% </w:t>
      </w:r>
    </w:p>
    <w:p w14:paraId="78232A32" w14:textId="3D80838E" w:rsidR="006E23BF" w:rsidRPr="00ED039D" w:rsidRDefault="006E23BF" w:rsidP="006E23BF">
      <w:pPr>
        <w:rPr>
          <w:sz w:val="28"/>
          <w:szCs w:val="28"/>
        </w:rPr>
      </w:pPr>
      <w:r w:rsidRPr="00ED039D">
        <w:rPr>
          <w:sz w:val="28"/>
          <w:szCs w:val="28"/>
        </w:rPr>
        <w:t xml:space="preserve"> </w:t>
      </w:r>
      <w:r w:rsidRPr="00ED039D">
        <w:rPr>
          <w:b/>
          <w:bCs/>
          <w:sz w:val="28"/>
          <w:szCs w:val="28"/>
        </w:rPr>
        <w:t>Avg ESG Score:</w:t>
      </w:r>
      <w:r w:rsidRPr="00ED039D">
        <w:rPr>
          <w:sz w:val="28"/>
          <w:szCs w:val="28"/>
        </w:rPr>
        <w:t xml:space="preserve"> 60.47</w:t>
      </w:r>
    </w:p>
    <w:p w14:paraId="7816B20D" w14:textId="77777777" w:rsidR="006E23BF" w:rsidRPr="00ED039D" w:rsidRDefault="006E23BF" w:rsidP="006E23BF">
      <w:pPr>
        <w:jc w:val="both"/>
        <w:rPr>
          <w:sz w:val="28"/>
          <w:szCs w:val="28"/>
        </w:rPr>
      </w:pPr>
      <w:r w:rsidRPr="00ED039D">
        <w:rPr>
          <w:b/>
          <w:bCs/>
          <w:sz w:val="28"/>
          <w:szCs w:val="28"/>
        </w:rPr>
        <w:t>SQL Calculated Fields Added:</w:t>
      </w:r>
      <w:r w:rsidRPr="00ED039D">
        <w:rPr>
          <w:sz w:val="28"/>
          <w:szCs w:val="28"/>
        </w:rPr>
        <w:t xml:space="preserve"> </w:t>
      </w:r>
      <w:proofErr w:type="spellStart"/>
      <w:r w:rsidRPr="00ED039D">
        <w:rPr>
          <w:sz w:val="28"/>
          <w:szCs w:val="28"/>
        </w:rPr>
        <w:t>gross_profit</w:t>
      </w:r>
      <w:proofErr w:type="spellEnd"/>
      <w:r w:rsidRPr="00ED039D">
        <w:rPr>
          <w:sz w:val="28"/>
          <w:szCs w:val="28"/>
        </w:rPr>
        <w:t xml:space="preserve">, </w:t>
      </w:r>
      <w:proofErr w:type="spellStart"/>
      <w:r w:rsidRPr="00ED039D">
        <w:rPr>
          <w:sz w:val="28"/>
          <w:szCs w:val="28"/>
        </w:rPr>
        <w:t>net_profit</w:t>
      </w:r>
      <w:proofErr w:type="spellEnd"/>
      <w:r w:rsidRPr="00ED039D">
        <w:rPr>
          <w:sz w:val="28"/>
          <w:szCs w:val="28"/>
        </w:rPr>
        <w:t xml:space="preserve">, </w:t>
      </w:r>
      <w:proofErr w:type="spellStart"/>
      <w:r w:rsidRPr="00ED039D">
        <w:rPr>
          <w:sz w:val="28"/>
          <w:szCs w:val="28"/>
        </w:rPr>
        <w:t>gross_margin_pct</w:t>
      </w:r>
      <w:proofErr w:type="spellEnd"/>
      <w:r w:rsidRPr="00ED039D">
        <w:rPr>
          <w:sz w:val="28"/>
          <w:szCs w:val="28"/>
        </w:rPr>
        <w:t xml:space="preserve">, </w:t>
      </w:r>
      <w:proofErr w:type="spellStart"/>
      <w:r w:rsidRPr="00ED039D">
        <w:rPr>
          <w:sz w:val="28"/>
          <w:szCs w:val="28"/>
        </w:rPr>
        <w:t>net_margin_pct</w:t>
      </w:r>
      <w:proofErr w:type="spellEnd"/>
      <w:r w:rsidRPr="00ED039D">
        <w:rPr>
          <w:sz w:val="28"/>
          <w:szCs w:val="28"/>
        </w:rPr>
        <w:t xml:space="preserve">, </w:t>
      </w:r>
      <w:proofErr w:type="spellStart"/>
      <w:r w:rsidRPr="00ED039D">
        <w:rPr>
          <w:sz w:val="28"/>
          <w:szCs w:val="28"/>
        </w:rPr>
        <w:t>cost_revenue_ratio</w:t>
      </w:r>
      <w:proofErr w:type="spellEnd"/>
      <w:r w:rsidRPr="00ED039D">
        <w:rPr>
          <w:sz w:val="28"/>
          <w:szCs w:val="28"/>
        </w:rPr>
        <w:t xml:space="preserve">, </w:t>
      </w:r>
      <w:proofErr w:type="spellStart"/>
      <w:r w:rsidRPr="00ED039D">
        <w:rPr>
          <w:sz w:val="28"/>
          <w:szCs w:val="28"/>
        </w:rPr>
        <w:t>opex_revenue_ratio</w:t>
      </w:r>
      <w:proofErr w:type="spellEnd"/>
      <w:r w:rsidRPr="00ED039D">
        <w:rPr>
          <w:sz w:val="28"/>
          <w:szCs w:val="28"/>
        </w:rPr>
        <w:t xml:space="preserve">, </w:t>
      </w:r>
      <w:proofErr w:type="spellStart"/>
      <w:r w:rsidRPr="00ED039D">
        <w:rPr>
          <w:sz w:val="28"/>
          <w:szCs w:val="28"/>
        </w:rPr>
        <w:t>esg_tier</w:t>
      </w:r>
      <w:proofErr w:type="spellEnd"/>
      <w:r w:rsidRPr="00ED039D">
        <w:rPr>
          <w:sz w:val="28"/>
          <w:szCs w:val="28"/>
        </w:rPr>
        <w:t xml:space="preserve">, </w:t>
      </w:r>
      <w:proofErr w:type="spellStart"/>
      <w:r w:rsidRPr="00ED039D">
        <w:rPr>
          <w:sz w:val="28"/>
          <w:szCs w:val="28"/>
        </w:rPr>
        <w:t>profit_risk_profile</w:t>
      </w:r>
      <w:proofErr w:type="spellEnd"/>
      <w:r w:rsidRPr="00ED039D">
        <w:rPr>
          <w:sz w:val="28"/>
          <w:szCs w:val="28"/>
        </w:rPr>
        <w:t xml:space="preserve">, </w:t>
      </w:r>
      <w:proofErr w:type="spellStart"/>
      <w:r w:rsidRPr="00ED039D">
        <w:rPr>
          <w:sz w:val="28"/>
          <w:szCs w:val="28"/>
        </w:rPr>
        <w:t>leverage_flag</w:t>
      </w:r>
      <w:proofErr w:type="spellEnd"/>
      <w:r w:rsidRPr="00ED039D">
        <w:rPr>
          <w:sz w:val="28"/>
          <w:szCs w:val="28"/>
        </w:rPr>
        <w:t xml:space="preserve">, </w:t>
      </w:r>
      <w:proofErr w:type="spellStart"/>
      <w:r w:rsidRPr="00ED039D">
        <w:rPr>
          <w:sz w:val="28"/>
          <w:szCs w:val="28"/>
        </w:rPr>
        <w:t>performance_flag</w:t>
      </w:r>
      <w:proofErr w:type="spellEnd"/>
      <w:r w:rsidRPr="00ED039D">
        <w:rPr>
          <w:sz w:val="28"/>
          <w:szCs w:val="28"/>
        </w:rPr>
        <w:t xml:space="preserve">, </w:t>
      </w:r>
      <w:proofErr w:type="spellStart"/>
      <w:r w:rsidRPr="00ED039D">
        <w:rPr>
          <w:sz w:val="28"/>
          <w:szCs w:val="28"/>
        </w:rPr>
        <w:t>revenue_outlier_flag</w:t>
      </w:r>
      <w:proofErr w:type="spellEnd"/>
    </w:p>
    <w:p w14:paraId="781303C1" w14:textId="77777777" w:rsidR="006E23BF" w:rsidRPr="00ED039D" w:rsidRDefault="006E23BF" w:rsidP="006E23BF"/>
    <w:p w14:paraId="546BD450" w14:textId="77777777" w:rsidR="00DA504B" w:rsidRPr="006E23BF" w:rsidRDefault="00DA504B" w:rsidP="006E23BF">
      <w:pPr>
        <w:rPr>
          <w:b/>
          <w:bCs/>
          <w:sz w:val="32"/>
          <w:szCs w:val="32"/>
        </w:rPr>
      </w:pPr>
      <w:r w:rsidRPr="006E23BF">
        <w:rPr>
          <w:b/>
          <w:bCs/>
          <w:sz w:val="32"/>
          <w:szCs w:val="32"/>
        </w:rPr>
        <w:lastRenderedPageBreak/>
        <w:t>Q1 — Which industries and regions have the highest revenue and net profit margins?</w:t>
      </w:r>
    </w:p>
    <w:p w14:paraId="30AB6271" w14:textId="77777777" w:rsidR="006E23BF" w:rsidRPr="006E23BF" w:rsidRDefault="006E23BF" w:rsidP="006E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Industry: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070"/>
        <w:gridCol w:w="2070"/>
        <w:gridCol w:w="3780"/>
      </w:tblGrid>
      <w:tr w:rsidR="006E23BF" w:rsidRPr="006E23BF" w14:paraId="371B963B" w14:textId="77777777" w:rsidTr="006E23BF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39EC65D0" w14:textId="77777777" w:rsidR="006E23BF" w:rsidRPr="006E23BF" w:rsidRDefault="006E23BF" w:rsidP="006E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Industry</w:t>
            </w:r>
          </w:p>
        </w:tc>
        <w:tc>
          <w:tcPr>
            <w:tcW w:w="2040" w:type="dxa"/>
            <w:vAlign w:val="center"/>
            <w:hideMark/>
          </w:tcPr>
          <w:p w14:paraId="3D0AB175" w14:textId="77777777" w:rsidR="006E23BF" w:rsidRPr="006E23BF" w:rsidRDefault="006E23BF" w:rsidP="006E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Revenue</w:t>
            </w:r>
          </w:p>
        </w:tc>
        <w:tc>
          <w:tcPr>
            <w:tcW w:w="2040" w:type="dxa"/>
            <w:vAlign w:val="center"/>
            <w:hideMark/>
          </w:tcPr>
          <w:p w14:paraId="5E46A7A0" w14:textId="77777777" w:rsidR="006E23BF" w:rsidRPr="006E23BF" w:rsidRDefault="006E23BF" w:rsidP="006E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Avg Net Margin</w:t>
            </w:r>
          </w:p>
        </w:tc>
        <w:tc>
          <w:tcPr>
            <w:tcW w:w="3735" w:type="dxa"/>
            <w:vAlign w:val="center"/>
            <w:hideMark/>
          </w:tcPr>
          <w:p w14:paraId="579981F6" w14:textId="77777777" w:rsidR="006E23BF" w:rsidRPr="006E23BF" w:rsidRDefault="006E23BF" w:rsidP="006E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6E23BF" w:rsidRPr="006E23BF" w14:paraId="768A24B1" w14:textId="77777777" w:rsidTr="006E23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85F236F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Technology</w:t>
            </w:r>
          </w:p>
        </w:tc>
        <w:tc>
          <w:tcPr>
            <w:tcW w:w="2040" w:type="dxa"/>
            <w:vAlign w:val="center"/>
            <w:hideMark/>
          </w:tcPr>
          <w:p w14:paraId="34DF3689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$1.34B</w:t>
            </w:r>
          </w:p>
        </w:tc>
        <w:tc>
          <w:tcPr>
            <w:tcW w:w="2040" w:type="dxa"/>
            <w:vAlign w:val="center"/>
            <w:hideMark/>
          </w:tcPr>
          <w:p w14:paraId="723BFE1B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+3.67%</w:t>
            </w:r>
          </w:p>
        </w:tc>
        <w:tc>
          <w:tcPr>
            <w:tcW w:w="3735" w:type="dxa"/>
            <w:vAlign w:val="center"/>
            <w:hideMark/>
          </w:tcPr>
          <w:p w14:paraId="029057EF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Only profitable industry</w:t>
            </w:r>
          </w:p>
        </w:tc>
      </w:tr>
      <w:tr w:rsidR="006E23BF" w:rsidRPr="006E23BF" w14:paraId="3220CB02" w14:textId="77777777" w:rsidTr="006E23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CAE9556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</w:t>
            </w:r>
          </w:p>
        </w:tc>
        <w:tc>
          <w:tcPr>
            <w:tcW w:w="2040" w:type="dxa"/>
            <w:vAlign w:val="center"/>
            <w:hideMark/>
          </w:tcPr>
          <w:p w14:paraId="40A3D889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$1.16B</w:t>
            </w:r>
          </w:p>
        </w:tc>
        <w:tc>
          <w:tcPr>
            <w:tcW w:w="2040" w:type="dxa"/>
            <w:vAlign w:val="center"/>
            <w:hideMark/>
          </w:tcPr>
          <w:p w14:paraId="68B6E6DE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−0.58%</w:t>
            </w:r>
          </w:p>
        </w:tc>
        <w:tc>
          <w:tcPr>
            <w:tcW w:w="3735" w:type="dxa"/>
            <w:vAlign w:val="center"/>
            <w:hideMark/>
          </w:tcPr>
          <w:p w14:paraId="4BC3D074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Near break-even</w:t>
            </w:r>
          </w:p>
        </w:tc>
      </w:tr>
      <w:tr w:rsidR="006E23BF" w:rsidRPr="006E23BF" w14:paraId="0DEDBA98" w14:textId="77777777" w:rsidTr="006E23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F18CF8A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Healthcare</w:t>
            </w:r>
          </w:p>
        </w:tc>
        <w:tc>
          <w:tcPr>
            <w:tcW w:w="2040" w:type="dxa"/>
            <w:vAlign w:val="center"/>
            <w:hideMark/>
          </w:tcPr>
          <w:p w14:paraId="65DEA35E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$1.07B</w:t>
            </w:r>
          </w:p>
        </w:tc>
        <w:tc>
          <w:tcPr>
            <w:tcW w:w="2040" w:type="dxa"/>
            <w:vAlign w:val="center"/>
            <w:hideMark/>
          </w:tcPr>
          <w:p w14:paraId="292E3CDE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−5.35%</w:t>
            </w:r>
          </w:p>
        </w:tc>
        <w:tc>
          <w:tcPr>
            <w:tcW w:w="3735" w:type="dxa"/>
            <w:vAlign w:val="center"/>
            <w:hideMark/>
          </w:tcPr>
          <w:p w14:paraId="6DE1E3D1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losses</w:t>
            </w:r>
          </w:p>
        </w:tc>
      </w:tr>
      <w:tr w:rsidR="006E23BF" w:rsidRPr="006E23BF" w14:paraId="20C667F3" w14:textId="77777777" w:rsidTr="006E23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41C21D2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</w:t>
            </w:r>
          </w:p>
        </w:tc>
        <w:tc>
          <w:tcPr>
            <w:tcW w:w="2040" w:type="dxa"/>
            <w:vAlign w:val="center"/>
            <w:hideMark/>
          </w:tcPr>
          <w:p w14:paraId="764A75DD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$1.66B</w:t>
            </w:r>
          </w:p>
        </w:tc>
        <w:tc>
          <w:tcPr>
            <w:tcW w:w="2040" w:type="dxa"/>
            <w:vAlign w:val="center"/>
            <w:hideMark/>
          </w:tcPr>
          <w:p w14:paraId="219893CD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−12.02%</w:t>
            </w:r>
          </w:p>
        </w:tc>
        <w:tc>
          <w:tcPr>
            <w:tcW w:w="3735" w:type="dxa"/>
            <w:vAlign w:val="center"/>
            <w:hideMark/>
          </w:tcPr>
          <w:p w14:paraId="756AE454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revenue, deep losses</w:t>
            </w:r>
          </w:p>
        </w:tc>
      </w:tr>
      <w:tr w:rsidR="006E23BF" w:rsidRPr="006E23BF" w14:paraId="1F82B87B" w14:textId="77777777" w:rsidTr="006E23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68E8B73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Manufacturing</w:t>
            </w:r>
          </w:p>
        </w:tc>
        <w:tc>
          <w:tcPr>
            <w:tcW w:w="2040" w:type="dxa"/>
            <w:vAlign w:val="center"/>
            <w:hideMark/>
          </w:tcPr>
          <w:p w14:paraId="5588A121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$1.24B</w:t>
            </w:r>
          </w:p>
        </w:tc>
        <w:tc>
          <w:tcPr>
            <w:tcW w:w="2040" w:type="dxa"/>
            <w:vAlign w:val="center"/>
            <w:hideMark/>
          </w:tcPr>
          <w:p w14:paraId="759A4D9F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−14.92%</w:t>
            </w:r>
          </w:p>
        </w:tc>
        <w:tc>
          <w:tcPr>
            <w:tcW w:w="3735" w:type="dxa"/>
            <w:vAlign w:val="center"/>
            <w:hideMark/>
          </w:tcPr>
          <w:p w14:paraId="3BA0B669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cost</w:t>
            </w:r>
            <w:proofErr w:type="gramEnd"/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structure</w:t>
            </w:r>
          </w:p>
        </w:tc>
      </w:tr>
      <w:tr w:rsidR="006E23BF" w:rsidRPr="006E23BF" w14:paraId="3D0FBD94" w14:textId="77777777" w:rsidTr="006E23B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4EC1475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</w:t>
            </w:r>
          </w:p>
        </w:tc>
        <w:tc>
          <w:tcPr>
            <w:tcW w:w="2040" w:type="dxa"/>
            <w:vAlign w:val="center"/>
            <w:hideMark/>
          </w:tcPr>
          <w:p w14:paraId="1FD9BB2D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$0.88B</w:t>
            </w:r>
          </w:p>
        </w:tc>
        <w:tc>
          <w:tcPr>
            <w:tcW w:w="2040" w:type="dxa"/>
            <w:vAlign w:val="center"/>
            <w:hideMark/>
          </w:tcPr>
          <w:p w14:paraId="7EEE6BC2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−17.00%</w:t>
            </w:r>
          </w:p>
        </w:tc>
        <w:tc>
          <w:tcPr>
            <w:tcW w:w="3735" w:type="dxa"/>
            <w:vAlign w:val="center"/>
            <w:hideMark/>
          </w:tcPr>
          <w:p w14:paraId="1BA8FD72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Worst on both metrics</w:t>
            </w:r>
          </w:p>
        </w:tc>
      </w:tr>
    </w:tbl>
    <w:p w14:paraId="7F9DE03D" w14:textId="77777777" w:rsidR="006E23BF" w:rsidRDefault="006E23BF" w:rsidP="006E23BF">
      <w:pPr>
        <w:rPr>
          <w:b/>
          <w:bCs/>
          <w:sz w:val="28"/>
          <w:szCs w:val="28"/>
        </w:rPr>
      </w:pPr>
    </w:p>
    <w:p w14:paraId="0D648FCA" w14:textId="3A5F932C" w:rsidR="006E23BF" w:rsidRPr="006E23BF" w:rsidRDefault="006E23BF" w:rsidP="006E23BF">
      <w:pPr>
        <w:rPr>
          <w:sz w:val="28"/>
          <w:szCs w:val="28"/>
        </w:rPr>
      </w:pPr>
      <w:r w:rsidRPr="006E23BF">
        <w:rPr>
          <w:b/>
          <w:bCs/>
          <w:sz w:val="28"/>
          <w:szCs w:val="28"/>
        </w:rPr>
        <w:t>By Region: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056"/>
        <w:gridCol w:w="2239"/>
      </w:tblGrid>
      <w:tr w:rsidR="006E23BF" w:rsidRPr="006E23BF" w14:paraId="01DF9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CFC91" w14:textId="77777777" w:rsidR="006E23BF" w:rsidRPr="006E23BF" w:rsidRDefault="006E23BF" w:rsidP="006E23BF">
            <w:pPr>
              <w:ind w:left="360"/>
              <w:rPr>
                <w:b/>
                <w:bCs/>
                <w:sz w:val="28"/>
                <w:szCs w:val="28"/>
              </w:rPr>
            </w:pPr>
            <w:r w:rsidRPr="006E23BF">
              <w:rPr>
                <w:b/>
                <w:bCs/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FA22BC1" w14:textId="77777777" w:rsidR="006E23BF" w:rsidRPr="006E23BF" w:rsidRDefault="006E23BF" w:rsidP="006E23BF">
            <w:pPr>
              <w:ind w:left="360"/>
              <w:rPr>
                <w:b/>
                <w:bCs/>
                <w:sz w:val="28"/>
                <w:szCs w:val="28"/>
              </w:rPr>
            </w:pPr>
            <w:r w:rsidRPr="006E23BF">
              <w:rPr>
                <w:b/>
                <w:bCs/>
                <w:sz w:val="28"/>
                <w:szCs w:val="28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1B75663B" w14:textId="77777777" w:rsidR="006E23BF" w:rsidRPr="006E23BF" w:rsidRDefault="006E23BF" w:rsidP="006E23BF">
            <w:pPr>
              <w:ind w:left="360"/>
              <w:rPr>
                <w:b/>
                <w:bCs/>
                <w:sz w:val="28"/>
                <w:szCs w:val="28"/>
              </w:rPr>
            </w:pPr>
            <w:r w:rsidRPr="006E23BF">
              <w:rPr>
                <w:b/>
                <w:bCs/>
                <w:sz w:val="28"/>
                <w:szCs w:val="28"/>
              </w:rPr>
              <w:t>Avg Net Margin</w:t>
            </w:r>
          </w:p>
        </w:tc>
      </w:tr>
      <w:tr w:rsidR="006E23BF" w:rsidRPr="006E23BF" w14:paraId="63428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FC97" w14:textId="77777777" w:rsidR="006E23BF" w:rsidRPr="006E23BF" w:rsidRDefault="006E23BF" w:rsidP="006E23BF">
            <w:pPr>
              <w:ind w:left="360"/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Asia</w:t>
            </w:r>
          </w:p>
        </w:tc>
        <w:tc>
          <w:tcPr>
            <w:tcW w:w="0" w:type="auto"/>
            <w:vAlign w:val="center"/>
            <w:hideMark/>
          </w:tcPr>
          <w:p w14:paraId="738427D0" w14:textId="77777777" w:rsidR="006E23BF" w:rsidRPr="006E23BF" w:rsidRDefault="006E23BF" w:rsidP="006E23BF">
            <w:pPr>
              <w:ind w:left="360"/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$2.53B</w:t>
            </w:r>
          </w:p>
        </w:tc>
        <w:tc>
          <w:tcPr>
            <w:tcW w:w="0" w:type="auto"/>
            <w:vAlign w:val="center"/>
            <w:hideMark/>
          </w:tcPr>
          <w:p w14:paraId="2FF84A2E" w14:textId="77777777" w:rsidR="006E23BF" w:rsidRPr="006E23BF" w:rsidRDefault="006E23BF" w:rsidP="006E23BF">
            <w:pPr>
              <w:ind w:left="360"/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−7.60%</w:t>
            </w:r>
          </w:p>
        </w:tc>
      </w:tr>
      <w:tr w:rsidR="006E23BF" w:rsidRPr="006E23BF" w14:paraId="66B92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C302" w14:textId="77777777" w:rsidR="006E23BF" w:rsidRPr="006E23BF" w:rsidRDefault="006E23BF" w:rsidP="006E23BF">
            <w:pPr>
              <w:ind w:left="360"/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14:paraId="418DD541" w14:textId="77777777" w:rsidR="006E23BF" w:rsidRPr="006E23BF" w:rsidRDefault="006E23BF" w:rsidP="006E23BF">
            <w:pPr>
              <w:ind w:left="360"/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$2.47B</w:t>
            </w:r>
          </w:p>
        </w:tc>
        <w:tc>
          <w:tcPr>
            <w:tcW w:w="0" w:type="auto"/>
            <w:vAlign w:val="center"/>
            <w:hideMark/>
          </w:tcPr>
          <w:p w14:paraId="793AFAEC" w14:textId="77777777" w:rsidR="006E23BF" w:rsidRPr="006E23BF" w:rsidRDefault="006E23BF" w:rsidP="006E23BF">
            <w:pPr>
              <w:ind w:left="360"/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−7.60%</w:t>
            </w:r>
          </w:p>
        </w:tc>
      </w:tr>
      <w:tr w:rsidR="006E23BF" w:rsidRPr="006E23BF" w14:paraId="12BC1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EA6B" w14:textId="77777777" w:rsidR="006E23BF" w:rsidRPr="006E23BF" w:rsidRDefault="006E23BF" w:rsidP="006E23BF">
            <w:pPr>
              <w:ind w:left="360"/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14:paraId="6AE3EC6D" w14:textId="77777777" w:rsidR="006E23BF" w:rsidRPr="006E23BF" w:rsidRDefault="006E23BF" w:rsidP="006E23BF">
            <w:pPr>
              <w:ind w:left="360"/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$2.36B</w:t>
            </w:r>
          </w:p>
        </w:tc>
        <w:tc>
          <w:tcPr>
            <w:tcW w:w="0" w:type="auto"/>
            <w:vAlign w:val="center"/>
            <w:hideMark/>
          </w:tcPr>
          <w:p w14:paraId="44F1FE78" w14:textId="77777777" w:rsidR="006E23BF" w:rsidRPr="006E23BF" w:rsidRDefault="006E23BF" w:rsidP="006E23BF">
            <w:pPr>
              <w:ind w:left="360"/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−7.53%</w:t>
            </w:r>
          </w:p>
        </w:tc>
      </w:tr>
    </w:tbl>
    <w:p w14:paraId="1803329F" w14:textId="77777777" w:rsidR="006E23BF" w:rsidRDefault="006E23BF" w:rsidP="006E23BF">
      <w:pPr>
        <w:ind w:left="360"/>
        <w:rPr>
          <w:sz w:val="28"/>
          <w:szCs w:val="28"/>
        </w:rPr>
      </w:pPr>
    </w:p>
    <w:p w14:paraId="1DF3CA03" w14:textId="7823B9A3" w:rsidR="006E23BF" w:rsidRPr="00DA504B" w:rsidRDefault="006E23BF" w:rsidP="006E23BF">
      <w:pPr>
        <w:jc w:val="both"/>
        <w:rPr>
          <w:sz w:val="28"/>
          <w:szCs w:val="28"/>
        </w:rPr>
      </w:pPr>
      <w:r w:rsidRPr="006E23BF">
        <w:rPr>
          <w:b/>
          <w:bCs/>
          <w:sz w:val="28"/>
          <w:szCs w:val="28"/>
        </w:rPr>
        <w:t>Finding:</w:t>
      </w:r>
      <w:r w:rsidRPr="006E23BF">
        <w:rPr>
          <w:sz w:val="28"/>
          <w:szCs w:val="28"/>
        </w:rPr>
        <w:t xml:space="preserve"> Technology is the only industry with a positive average net margin (+3.67%). Energy has the most revenue ($1.66B) but a −12.02% margin — proving high revenue does not equal profitability. All three regions perform nearly identically (within 0.07 percentage points), meaning </w:t>
      </w:r>
      <w:r w:rsidRPr="006E23BF">
        <w:rPr>
          <w:b/>
          <w:bCs/>
          <w:sz w:val="28"/>
          <w:szCs w:val="28"/>
        </w:rPr>
        <w:t>industry sector is a far stronger predictor of profitability than geographic region.</w:t>
      </w:r>
    </w:p>
    <w:p w14:paraId="47BCE3AB" w14:textId="77777777" w:rsidR="00DA504B" w:rsidRPr="006E23BF" w:rsidRDefault="00DA504B" w:rsidP="006E23BF">
      <w:pPr>
        <w:rPr>
          <w:b/>
          <w:bCs/>
          <w:sz w:val="32"/>
          <w:szCs w:val="32"/>
        </w:rPr>
      </w:pPr>
      <w:r w:rsidRPr="006E23BF">
        <w:rPr>
          <w:b/>
          <w:bCs/>
          <w:sz w:val="32"/>
          <w:szCs w:val="32"/>
        </w:rPr>
        <w:t>Q2 — Do companies with higher ESG scores tend to have better net profit margins?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477"/>
        <w:gridCol w:w="1770"/>
        <w:gridCol w:w="1879"/>
      </w:tblGrid>
      <w:tr w:rsidR="006E23BF" w:rsidRPr="006E23BF" w14:paraId="31D4C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2B785" w14:textId="77777777" w:rsidR="006E23BF" w:rsidRPr="006E23BF" w:rsidRDefault="006E23BF" w:rsidP="006E23BF">
            <w:pPr>
              <w:rPr>
                <w:b/>
                <w:bCs/>
                <w:sz w:val="28"/>
                <w:szCs w:val="28"/>
              </w:rPr>
            </w:pPr>
            <w:r w:rsidRPr="006E23BF">
              <w:rPr>
                <w:b/>
                <w:bCs/>
                <w:sz w:val="28"/>
                <w:szCs w:val="28"/>
              </w:rPr>
              <w:t>ESG Tier</w:t>
            </w:r>
          </w:p>
        </w:tc>
        <w:tc>
          <w:tcPr>
            <w:tcW w:w="0" w:type="auto"/>
            <w:vAlign w:val="center"/>
            <w:hideMark/>
          </w:tcPr>
          <w:p w14:paraId="7ED72BC6" w14:textId="77777777" w:rsidR="006E23BF" w:rsidRPr="006E23BF" w:rsidRDefault="006E23BF" w:rsidP="006E23BF">
            <w:pPr>
              <w:rPr>
                <w:b/>
                <w:bCs/>
                <w:sz w:val="28"/>
                <w:szCs w:val="28"/>
              </w:rPr>
            </w:pPr>
            <w:r w:rsidRPr="006E23BF">
              <w:rPr>
                <w:b/>
                <w:bCs/>
                <w:sz w:val="28"/>
                <w:szCs w:val="28"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1FB74F8E" w14:textId="77777777" w:rsidR="006E23BF" w:rsidRPr="006E23BF" w:rsidRDefault="006E23BF" w:rsidP="006E23BF">
            <w:pPr>
              <w:rPr>
                <w:b/>
                <w:bCs/>
                <w:sz w:val="28"/>
                <w:szCs w:val="28"/>
              </w:rPr>
            </w:pPr>
            <w:r w:rsidRPr="006E23BF">
              <w:rPr>
                <w:b/>
                <w:bCs/>
                <w:sz w:val="28"/>
                <w:szCs w:val="28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5673C18B" w14:textId="77777777" w:rsidR="006E23BF" w:rsidRPr="006E23BF" w:rsidRDefault="006E23BF" w:rsidP="006E23BF">
            <w:pPr>
              <w:rPr>
                <w:b/>
                <w:bCs/>
                <w:sz w:val="28"/>
                <w:szCs w:val="28"/>
              </w:rPr>
            </w:pPr>
            <w:r w:rsidRPr="006E23BF">
              <w:rPr>
                <w:b/>
                <w:bCs/>
                <w:sz w:val="28"/>
                <w:szCs w:val="28"/>
              </w:rPr>
              <w:t>Avg Net Margin</w:t>
            </w:r>
          </w:p>
        </w:tc>
      </w:tr>
      <w:tr w:rsidR="006E23BF" w:rsidRPr="006E23BF" w14:paraId="49F20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9302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Low ESG</w:t>
            </w:r>
          </w:p>
        </w:tc>
        <w:tc>
          <w:tcPr>
            <w:tcW w:w="0" w:type="auto"/>
            <w:vAlign w:val="center"/>
            <w:hideMark/>
          </w:tcPr>
          <w:p w14:paraId="771D96A1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25–49</w:t>
            </w:r>
          </w:p>
        </w:tc>
        <w:tc>
          <w:tcPr>
            <w:tcW w:w="0" w:type="auto"/>
            <w:vAlign w:val="center"/>
            <w:hideMark/>
          </w:tcPr>
          <w:p w14:paraId="452895B3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9,542 (23.2%)</w:t>
            </w:r>
          </w:p>
        </w:tc>
        <w:tc>
          <w:tcPr>
            <w:tcW w:w="0" w:type="auto"/>
            <w:vAlign w:val="center"/>
            <w:hideMark/>
          </w:tcPr>
          <w:p w14:paraId="4103CD91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−7.43%</w:t>
            </w:r>
          </w:p>
        </w:tc>
      </w:tr>
      <w:tr w:rsidR="006E23BF" w:rsidRPr="006E23BF" w14:paraId="0C798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6E9D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High ESG</w:t>
            </w:r>
          </w:p>
        </w:tc>
        <w:tc>
          <w:tcPr>
            <w:tcW w:w="0" w:type="auto"/>
            <w:vAlign w:val="center"/>
            <w:hideMark/>
          </w:tcPr>
          <w:p w14:paraId="1CDE7021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≥75</w:t>
            </w:r>
          </w:p>
        </w:tc>
        <w:tc>
          <w:tcPr>
            <w:tcW w:w="0" w:type="auto"/>
            <w:vAlign w:val="center"/>
            <w:hideMark/>
          </w:tcPr>
          <w:p w14:paraId="1C805577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6,952 (16.9%)</w:t>
            </w:r>
          </w:p>
        </w:tc>
        <w:tc>
          <w:tcPr>
            <w:tcW w:w="0" w:type="auto"/>
            <w:vAlign w:val="center"/>
            <w:hideMark/>
          </w:tcPr>
          <w:p w14:paraId="025B87E8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−7.57%</w:t>
            </w:r>
          </w:p>
        </w:tc>
      </w:tr>
      <w:tr w:rsidR="006E23BF" w:rsidRPr="006E23BF" w14:paraId="473A5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DEEE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Medium ESG</w:t>
            </w:r>
          </w:p>
        </w:tc>
        <w:tc>
          <w:tcPr>
            <w:tcW w:w="0" w:type="auto"/>
            <w:vAlign w:val="center"/>
            <w:hideMark/>
          </w:tcPr>
          <w:p w14:paraId="19DD0CD9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50–74</w:t>
            </w:r>
          </w:p>
        </w:tc>
        <w:tc>
          <w:tcPr>
            <w:tcW w:w="0" w:type="auto"/>
            <w:vAlign w:val="center"/>
            <w:hideMark/>
          </w:tcPr>
          <w:p w14:paraId="5042947F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24,109 (58.7%)</w:t>
            </w:r>
          </w:p>
        </w:tc>
        <w:tc>
          <w:tcPr>
            <w:tcW w:w="0" w:type="auto"/>
            <w:vAlign w:val="center"/>
            <w:hideMark/>
          </w:tcPr>
          <w:p w14:paraId="25479C0D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−7.64%</w:t>
            </w:r>
          </w:p>
        </w:tc>
      </w:tr>
      <w:tr w:rsidR="006E23BF" w:rsidRPr="006E23BF" w14:paraId="69850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1196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Very Low ESG</w:t>
            </w:r>
          </w:p>
        </w:tc>
        <w:tc>
          <w:tcPr>
            <w:tcW w:w="0" w:type="auto"/>
            <w:vAlign w:val="center"/>
            <w:hideMark/>
          </w:tcPr>
          <w:p w14:paraId="51707B90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&lt;25</w:t>
            </w:r>
          </w:p>
        </w:tc>
        <w:tc>
          <w:tcPr>
            <w:tcW w:w="0" w:type="auto"/>
            <w:vAlign w:val="center"/>
            <w:hideMark/>
          </w:tcPr>
          <w:p w14:paraId="63411582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453 (1.1%)</w:t>
            </w:r>
          </w:p>
        </w:tc>
        <w:tc>
          <w:tcPr>
            <w:tcW w:w="0" w:type="auto"/>
            <w:vAlign w:val="center"/>
            <w:hideMark/>
          </w:tcPr>
          <w:p w14:paraId="52E30008" w14:textId="77777777" w:rsidR="006E23BF" w:rsidRPr="006E23BF" w:rsidRDefault="006E23BF" w:rsidP="006E23BF">
            <w:pPr>
              <w:rPr>
                <w:sz w:val="28"/>
                <w:szCs w:val="28"/>
              </w:rPr>
            </w:pPr>
            <w:r w:rsidRPr="006E23BF">
              <w:rPr>
                <w:sz w:val="28"/>
                <w:szCs w:val="28"/>
              </w:rPr>
              <w:t>−7.91%</w:t>
            </w:r>
          </w:p>
        </w:tc>
      </w:tr>
    </w:tbl>
    <w:p w14:paraId="7F8BDE61" w14:textId="7EAFC07A" w:rsidR="006E23BF" w:rsidRPr="00ED039D" w:rsidRDefault="006E23BF" w:rsidP="00ED039D">
      <w:pPr>
        <w:jc w:val="both"/>
      </w:pPr>
      <w:r w:rsidRPr="00ED039D">
        <w:rPr>
          <w:b/>
          <w:bCs/>
        </w:rPr>
        <w:lastRenderedPageBreak/>
        <w:t>Finding:</w:t>
      </w:r>
      <w:r w:rsidRPr="00ED039D">
        <w:t xml:space="preserve"> The margin spread across all ESG tiers is only </w:t>
      </w:r>
      <w:r w:rsidRPr="00ED039D">
        <w:rPr>
          <w:b/>
          <w:bCs/>
        </w:rPr>
        <w:t>0.48 percentage points</w:t>
      </w:r>
      <w:r w:rsidRPr="00ED039D">
        <w:t xml:space="preserve"> — statistically negligible. There is no clear positive relationship between ESG score and net profit margin in this dataset. ESG appears to function as a long-term risk management and stakeholder trust tool, not a direct short-term profit driver.</w:t>
      </w:r>
    </w:p>
    <w:p w14:paraId="4C33ADE5" w14:textId="33DF1A50" w:rsidR="006E23BF" w:rsidRPr="006E23BF" w:rsidRDefault="006E23BF" w:rsidP="006E23BF">
      <w:pPr>
        <w:rPr>
          <w:b/>
          <w:bCs/>
          <w:sz w:val="28"/>
          <w:szCs w:val="28"/>
        </w:rPr>
      </w:pPr>
      <w:r w:rsidRPr="006E23BF">
        <w:rPr>
          <w:b/>
          <w:bCs/>
          <w:sz w:val="28"/>
          <w:szCs w:val="28"/>
        </w:rPr>
        <w:t>KEY INSIGHTS</w:t>
      </w:r>
      <w:r>
        <w:rPr>
          <w:b/>
          <w:bCs/>
          <w:sz w:val="28"/>
          <w:szCs w:val="28"/>
        </w:rPr>
        <w:t>:</w:t>
      </w:r>
    </w:p>
    <w:p w14:paraId="75A317BC" w14:textId="77777777" w:rsidR="006E23BF" w:rsidRPr="006E23BF" w:rsidRDefault="006E23BF" w:rsidP="006E23BF">
      <w:pPr>
        <w:numPr>
          <w:ilvl w:val="0"/>
          <w:numId w:val="2"/>
        </w:numPr>
        <w:rPr>
          <w:sz w:val="28"/>
          <w:szCs w:val="28"/>
        </w:rPr>
      </w:pPr>
      <w:r w:rsidRPr="006E23BF">
        <w:rPr>
          <w:b/>
          <w:bCs/>
          <w:sz w:val="28"/>
          <w:szCs w:val="28"/>
        </w:rPr>
        <w:t>Technology is the only profitable industry</w:t>
      </w:r>
      <w:r w:rsidRPr="006E23BF">
        <w:rPr>
          <w:sz w:val="28"/>
          <w:szCs w:val="28"/>
        </w:rPr>
        <w:t xml:space="preserve"> — the only sector averaging a positive margin across 10 years and 41,056 records.</w:t>
      </w:r>
    </w:p>
    <w:p w14:paraId="0CD27692" w14:textId="77777777" w:rsidR="006E23BF" w:rsidRPr="006E23BF" w:rsidRDefault="006E23BF" w:rsidP="006E23BF">
      <w:pPr>
        <w:numPr>
          <w:ilvl w:val="0"/>
          <w:numId w:val="2"/>
        </w:numPr>
        <w:rPr>
          <w:sz w:val="28"/>
          <w:szCs w:val="28"/>
        </w:rPr>
      </w:pPr>
      <w:r w:rsidRPr="006E23BF">
        <w:rPr>
          <w:b/>
          <w:bCs/>
          <w:sz w:val="28"/>
          <w:szCs w:val="28"/>
        </w:rPr>
        <w:t>Revenue volume ≠ profitability</w:t>
      </w:r>
      <w:r w:rsidRPr="006E23BF">
        <w:rPr>
          <w:sz w:val="28"/>
          <w:szCs w:val="28"/>
        </w:rPr>
        <w:t xml:space="preserve"> — Energy leads in revenue but ranks 4th in margin due to its </w:t>
      </w:r>
      <w:proofErr w:type="gramStart"/>
      <w:r w:rsidRPr="006E23BF">
        <w:rPr>
          <w:sz w:val="28"/>
          <w:szCs w:val="28"/>
        </w:rPr>
        <w:t>high cost</w:t>
      </w:r>
      <w:proofErr w:type="gramEnd"/>
      <w:r w:rsidRPr="006E23BF">
        <w:rPr>
          <w:sz w:val="28"/>
          <w:szCs w:val="28"/>
        </w:rPr>
        <w:t xml:space="preserve"> structure.</w:t>
      </w:r>
    </w:p>
    <w:p w14:paraId="011B687B" w14:textId="77777777" w:rsidR="006E23BF" w:rsidRPr="006E23BF" w:rsidRDefault="006E23BF" w:rsidP="006E23BF">
      <w:pPr>
        <w:numPr>
          <w:ilvl w:val="0"/>
          <w:numId w:val="2"/>
        </w:numPr>
        <w:rPr>
          <w:sz w:val="28"/>
          <w:szCs w:val="28"/>
        </w:rPr>
      </w:pPr>
      <w:r w:rsidRPr="006E23BF">
        <w:rPr>
          <w:b/>
          <w:bCs/>
          <w:sz w:val="28"/>
          <w:szCs w:val="28"/>
        </w:rPr>
        <w:t>Regional geography does not predict profit</w:t>
      </w:r>
      <w:r w:rsidRPr="006E23BF">
        <w:rPr>
          <w:sz w:val="28"/>
          <w:szCs w:val="28"/>
        </w:rPr>
        <w:t xml:space="preserve"> — all three regions are within 0.07 percentage points of each other.</w:t>
      </w:r>
    </w:p>
    <w:p w14:paraId="1383D4F5" w14:textId="77777777" w:rsidR="006E23BF" w:rsidRPr="006E23BF" w:rsidRDefault="006E23BF" w:rsidP="006E23BF">
      <w:pPr>
        <w:numPr>
          <w:ilvl w:val="0"/>
          <w:numId w:val="2"/>
        </w:numPr>
        <w:rPr>
          <w:sz w:val="28"/>
          <w:szCs w:val="28"/>
        </w:rPr>
      </w:pPr>
      <w:r w:rsidRPr="006E23BF">
        <w:rPr>
          <w:b/>
          <w:bCs/>
          <w:sz w:val="28"/>
          <w:szCs w:val="28"/>
        </w:rPr>
        <w:t>ESG score is not a reliable margin predictor</w:t>
      </w:r>
      <w:r w:rsidRPr="006E23BF">
        <w:rPr>
          <w:sz w:val="28"/>
          <w:szCs w:val="28"/>
        </w:rPr>
        <w:t xml:space="preserve"> — the difference between High ESG and Low ESG margins is just 0.14 percentage points.</w:t>
      </w:r>
    </w:p>
    <w:p w14:paraId="76D8744C" w14:textId="0F53033C" w:rsidR="006E23BF" w:rsidRPr="00ED039D" w:rsidRDefault="006E23BF" w:rsidP="00ED039D">
      <w:pPr>
        <w:numPr>
          <w:ilvl w:val="0"/>
          <w:numId w:val="2"/>
        </w:numPr>
        <w:rPr>
          <w:sz w:val="28"/>
          <w:szCs w:val="28"/>
        </w:rPr>
      </w:pPr>
      <w:r w:rsidRPr="006E23BF">
        <w:rPr>
          <w:b/>
          <w:bCs/>
          <w:sz w:val="28"/>
          <w:szCs w:val="28"/>
        </w:rPr>
        <w:t>68.4% of records are loss-making</w:t>
      </w:r>
      <w:r w:rsidRPr="006E23BF">
        <w:rPr>
          <w:sz w:val="28"/>
          <w:szCs w:val="28"/>
        </w:rPr>
        <w:t xml:space="preserve"> — the dataset reflects a broad mix of company types; profitability is concentrated in Technology and Finance.</w:t>
      </w:r>
    </w:p>
    <w:p w14:paraId="2A8980BA" w14:textId="68F28184" w:rsidR="006E23BF" w:rsidRPr="006E23BF" w:rsidRDefault="006E23BF" w:rsidP="006E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6E23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BUSINESS RECOMMENDATIONS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tbl>
      <w:tblPr>
        <w:tblW w:w="110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  <w:gridCol w:w="9746"/>
        <w:gridCol w:w="1045"/>
      </w:tblGrid>
      <w:tr w:rsidR="006E23BF" w:rsidRPr="006E23BF" w14:paraId="067BDC34" w14:textId="77777777" w:rsidTr="006E23BF">
        <w:trPr>
          <w:trHeight w:val="3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C2B2B" w14:textId="77777777" w:rsidR="006E23BF" w:rsidRPr="006E23BF" w:rsidRDefault="006E23BF" w:rsidP="006E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BB11B63" w14:textId="77777777" w:rsidR="006E23BF" w:rsidRPr="006E23BF" w:rsidRDefault="006E23BF" w:rsidP="006E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04748E18" w14:textId="77777777" w:rsidR="006E23BF" w:rsidRPr="006E23BF" w:rsidRDefault="006E23BF" w:rsidP="006E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6E23BF" w:rsidRPr="006E23BF" w14:paraId="4076CA00" w14:textId="77777777" w:rsidTr="006E23BF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58BB742E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64F8E1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Prioritise</w:t>
            </w:r>
            <w:proofErr w:type="spellEnd"/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Technology sector — only industry with consistently positive margins</w:t>
            </w:r>
          </w:p>
        </w:tc>
        <w:tc>
          <w:tcPr>
            <w:tcW w:w="0" w:type="auto"/>
            <w:vAlign w:val="center"/>
            <w:hideMark/>
          </w:tcPr>
          <w:p w14:paraId="7EACA65A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6E23BF" w:rsidRPr="006E23BF" w14:paraId="2074B640" w14:textId="77777777" w:rsidTr="006E23BF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28302CDB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3592A4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Retail and Manufacturing costs — worst margins, most room for improvement</w:t>
            </w:r>
          </w:p>
        </w:tc>
        <w:tc>
          <w:tcPr>
            <w:tcW w:w="0" w:type="auto"/>
            <w:vAlign w:val="center"/>
            <w:hideMark/>
          </w:tcPr>
          <w:p w14:paraId="3147898D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6E23BF" w:rsidRPr="006E23BF" w14:paraId="3E9D566C" w14:textId="77777777" w:rsidTr="006E23BF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3880686D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32F9C3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Investigate the Energy revenue-to-profit gap — high revenue, poor margins</w:t>
            </w:r>
          </w:p>
        </w:tc>
        <w:tc>
          <w:tcPr>
            <w:tcW w:w="0" w:type="auto"/>
            <w:vAlign w:val="center"/>
            <w:hideMark/>
          </w:tcPr>
          <w:p w14:paraId="0BA4715B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6E23BF" w:rsidRPr="006E23BF" w14:paraId="178B76F9" w14:textId="77777777" w:rsidTr="006E23BF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35094713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F87593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Treat ESG as a risk management tool, not a profit lever</w:t>
            </w:r>
          </w:p>
        </w:tc>
        <w:tc>
          <w:tcPr>
            <w:tcW w:w="0" w:type="auto"/>
            <w:vAlign w:val="center"/>
            <w:hideMark/>
          </w:tcPr>
          <w:p w14:paraId="39C361CB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6E23BF" w:rsidRPr="006E23BF" w14:paraId="2521DEF7" w14:textId="77777777" w:rsidTr="006E23BF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5C5FFA35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0EB598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 regional strategy by industry mix, not geographic location</w:t>
            </w:r>
          </w:p>
        </w:tc>
        <w:tc>
          <w:tcPr>
            <w:tcW w:w="0" w:type="auto"/>
            <w:vAlign w:val="center"/>
            <w:hideMark/>
          </w:tcPr>
          <w:p w14:paraId="74596919" w14:textId="77777777" w:rsidR="006E23BF" w:rsidRPr="006E23BF" w:rsidRDefault="006E23BF" w:rsidP="006E2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</w:tbl>
    <w:p w14:paraId="25EA4DC3" w14:textId="77777777" w:rsidR="00DA504B" w:rsidRDefault="00DA504B" w:rsidP="00DA504B">
      <w:pPr>
        <w:rPr>
          <w:sz w:val="28"/>
          <w:szCs w:val="28"/>
        </w:rPr>
      </w:pPr>
    </w:p>
    <w:p w14:paraId="466843AD" w14:textId="185B1A4F" w:rsidR="00ED039D" w:rsidRPr="00ED039D" w:rsidRDefault="00ED039D" w:rsidP="00DA504B">
      <w:pPr>
        <w:rPr>
          <w:b/>
          <w:bCs/>
          <w:sz w:val="28"/>
          <w:szCs w:val="28"/>
        </w:rPr>
      </w:pPr>
      <w:r w:rsidRPr="00ED039D">
        <w:rPr>
          <w:b/>
          <w:bCs/>
          <w:sz w:val="28"/>
          <w:szCs w:val="28"/>
        </w:rPr>
        <w:t>Tableau Dashboard Link:</w:t>
      </w:r>
    </w:p>
    <w:p w14:paraId="5EC8C0CE" w14:textId="1EC913A5" w:rsidR="00ED039D" w:rsidRPr="00ED039D" w:rsidRDefault="00ED039D" w:rsidP="00DA504B">
      <w:pPr>
        <w:rPr>
          <w:b/>
          <w:bCs/>
          <w:sz w:val="28"/>
          <w:szCs w:val="28"/>
        </w:rPr>
      </w:pPr>
      <w:r w:rsidRPr="00ED039D">
        <w:rPr>
          <w:b/>
          <w:bCs/>
          <w:sz w:val="28"/>
          <w:szCs w:val="28"/>
        </w:rPr>
        <w:t>Dashboard 1:</w:t>
      </w:r>
    </w:p>
    <w:p w14:paraId="71298156" w14:textId="36EC9FEF" w:rsidR="00ED039D" w:rsidRDefault="00ED039D" w:rsidP="00DA504B">
      <w:pPr>
        <w:rPr>
          <w:sz w:val="28"/>
          <w:szCs w:val="28"/>
        </w:rPr>
      </w:pPr>
      <w:r w:rsidRPr="00ED039D">
        <w:rPr>
          <w:sz w:val="28"/>
          <w:szCs w:val="28"/>
        </w:rPr>
        <w:t>https://public.tableau.com/views/Financial_Performance_Analysis_Dashboard_1/ProfitabilityOverview?:language=en-US&amp;:sid=&amp;:redirect=auth&amp;:display_count=n&amp;:origin=viz_share_link</w:t>
      </w:r>
    </w:p>
    <w:p w14:paraId="5664E985" w14:textId="5C4558EC" w:rsidR="00ED039D" w:rsidRPr="00ED039D" w:rsidRDefault="00ED039D" w:rsidP="00DA504B">
      <w:pPr>
        <w:rPr>
          <w:b/>
          <w:bCs/>
          <w:sz w:val="28"/>
          <w:szCs w:val="28"/>
        </w:rPr>
      </w:pPr>
      <w:r w:rsidRPr="00ED039D">
        <w:rPr>
          <w:b/>
          <w:bCs/>
          <w:sz w:val="28"/>
          <w:szCs w:val="28"/>
        </w:rPr>
        <w:t>Dashboard 2:</w:t>
      </w:r>
    </w:p>
    <w:p w14:paraId="27AEDF42" w14:textId="39872432" w:rsidR="00ED039D" w:rsidRPr="00DA504B" w:rsidRDefault="00ED039D" w:rsidP="00DA504B">
      <w:pPr>
        <w:rPr>
          <w:sz w:val="28"/>
          <w:szCs w:val="28"/>
        </w:rPr>
      </w:pPr>
      <w:r w:rsidRPr="00ED039D">
        <w:rPr>
          <w:sz w:val="28"/>
          <w:szCs w:val="28"/>
        </w:rPr>
        <w:t>https://public.tableau.com/views/Financial_Performance_Analysis_Dashboard_2/ESGProfit?:language=en-US&amp;:sid=&amp;:redirect=auth&amp;:display_count=n&amp;:origin=viz_share_link</w:t>
      </w:r>
    </w:p>
    <w:sectPr w:rsidR="00ED039D" w:rsidRPr="00DA504B" w:rsidSect="00DA50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9B54B" w14:textId="77777777" w:rsidR="009C51A0" w:rsidRDefault="009C51A0" w:rsidP="00DA504B">
      <w:pPr>
        <w:spacing w:after="0" w:line="240" w:lineRule="auto"/>
      </w:pPr>
      <w:r>
        <w:separator/>
      </w:r>
    </w:p>
  </w:endnote>
  <w:endnote w:type="continuationSeparator" w:id="0">
    <w:p w14:paraId="7F8DBC4C" w14:textId="77777777" w:rsidR="009C51A0" w:rsidRDefault="009C51A0" w:rsidP="00DA5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ABF51" w14:textId="77777777" w:rsidR="009C51A0" w:rsidRDefault="009C51A0" w:rsidP="00DA504B">
      <w:pPr>
        <w:spacing w:after="0" w:line="240" w:lineRule="auto"/>
      </w:pPr>
      <w:r>
        <w:separator/>
      </w:r>
    </w:p>
  </w:footnote>
  <w:footnote w:type="continuationSeparator" w:id="0">
    <w:p w14:paraId="33D80FE6" w14:textId="77777777" w:rsidR="009C51A0" w:rsidRDefault="009C51A0" w:rsidP="00DA5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406"/>
    <w:multiLevelType w:val="multilevel"/>
    <w:tmpl w:val="9E2E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443BE"/>
    <w:multiLevelType w:val="multilevel"/>
    <w:tmpl w:val="48C4D3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81171832">
    <w:abstractNumId w:val="1"/>
  </w:num>
  <w:num w:numId="2" w16cid:durableId="150821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4B"/>
    <w:rsid w:val="00165846"/>
    <w:rsid w:val="00205684"/>
    <w:rsid w:val="00493A4B"/>
    <w:rsid w:val="006E23BF"/>
    <w:rsid w:val="007D2501"/>
    <w:rsid w:val="008D7EA5"/>
    <w:rsid w:val="009C51A0"/>
    <w:rsid w:val="00AA17A9"/>
    <w:rsid w:val="00C87930"/>
    <w:rsid w:val="00DA504B"/>
    <w:rsid w:val="00E53C87"/>
    <w:rsid w:val="00ED039D"/>
    <w:rsid w:val="00F9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653A"/>
  <w15:chartTrackingRefBased/>
  <w15:docId w15:val="{38502F28-9855-4CE4-A857-9E7B03C0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5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5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0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0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04B"/>
  </w:style>
  <w:style w:type="paragraph" w:styleId="Footer">
    <w:name w:val="footer"/>
    <w:basedOn w:val="Normal"/>
    <w:link w:val="FooterChar"/>
    <w:uiPriority w:val="99"/>
    <w:unhideWhenUsed/>
    <w:rsid w:val="00DA50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04B"/>
  </w:style>
  <w:style w:type="paragraph" w:customStyle="1" w:styleId="font-claude-response-body">
    <w:name w:val="font-claude-response-body"/>
    <w:basedOn w:val="Normal"/>
    <w:rsid w:val="006E2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23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Anishu Ansari</dc:creator>
  <cp:keywords/>
  <dc:description/>
  <cp:lastModifiedBy>Anishu Ansari</cp:lastModifiedBy>
  <cp:revision>4</cp:revision>
  <dcterms:created xsi:type="dcterms:W3CDTF">2026-04-26T17:04:00Z</dcterms:created>
  <dcterms:modified xsi:type="dcterms:W3CDTF">2026-04-27T05:56:00Z</dcterms:modified>
</cp:coreProperties>
</file>