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122D2" w14:textId="6E9CF099" w:rsidR="00C87930" w:rsidRDefault="00713F98" w:rsidP="00713F98">
      <w:pPr>
        <w:jc w:val="center"/>
        <w:rPr>
          <w:b/>
          <w:bCs/>
          <w:sz w:val="36"/>
          <w:szCs w:val="36"/>
        </w:rPr>
      </w:pPr>
      <w:r w:rsidRPr="00713F98">
        <w:rPr>
          <w:b/>
          <w:bCs/>
          <w:sz w:val="36"/>
          <w:szCs w:val="36"/>
        </w:rPr>
        <w:t>Stock Performance &amp; Risk Analysis</w:t>
      </w:r>
    </w:p>
    <w:p w14:paraId="61A6E2FA" w14:textId="77777777" w:rsidR="00713F98" w:rsidRPr="00713F98" w:rsidRDefault="00713F98" w:rsidP="00713F98">
      <w:pPr>
        <w:rPr>
          <w:b/>
          <w:bCs/>
          <w:sz w:val="28"/>
          <w:szCs w:val="28"/>
        </w:rPr>
      </w:pPr>
      <w:r w:rsidRPr="00713F98">
        <w:rPr>
          <w:b/>
          <w:bCs/>
          <w:sz w:val="28"/>
          <w:szCs w:val="28"/>
        </w:rPr>
        <w:t>Project Goal</w:t>
      </w:r>
    </w:p>
    <w:p w14:paraId="0FEB2B77" w14:textId="4190C153" w:rsidR="00713F98" w:rsidRDefault="00713F98" w:rsidP="00713F98">
      <w:pPr>
        <w:jc w:val="both"/>
      </w:pPr>
      <w:r w:rsidRPr="00713F98">
        <w:t>Analy</w:t>
      </w:r>
      <w:r>
        <w:t>z</w:t>
      </w:r>
      <w:r w:rsidRPr="00713F98">
        <w:t xml:space="preserve">e the 10-year historical performance, risk, and seasonal </w:t>
      </w:r>
      <w:proofErr w:type="spellStart"/>
      <w:r w:rsidRPr="00713F98">
        <w:t>behaviou</w:t>
      </w:r>
      <w:r w:rsidR="009B3F91">
        <w:t>r</w:t>
      </w:r>
      <w:proofErr w:type="spellEnd"/>
      <w:r w:rsidRPr="00713F98">
        <w:t xml:space="preserve"> of 10 major US stocks using a PostgreSQL database for all computation and Microsoft Excel for presentation. The project answers three core questions that any investor or analyst would ask before making portfolio decisions — without requiring any BI tool or dashboard software.</w:t>
      </w:r>
    </w:p>
    <w:p w14:paraId="1427C97E" w14:textId="77777777" w:rsidR="00713F98" w:rsidRDefault="00713F98" w:rsidP="00713F98">
      <w:pPr>
        <w:jc w:val="both"/>
      </w:pPr>
    </w:p>
    <w:p w14:paraId="4F519A78" w14:textId="77777777" w:rsidR="00713F98" w:rsidRDefault="00713F98" w:rsidP="00713F98">
      <w:pPr>
        <w:jc w:val="both"/>
      </w:pPr>
      <w:r w:rsidRPr="00713F98">
        <w:rPr>
          <w:b/>
          <w:bCs/>
        </w:rPr>
        <w:t>Tools:</w:t>
      </w:r>
      <w:r w:rsidRPr="00713F98">
        <w:t xml:space="preserve"> PostgreSQL · Microsoft Excel </w:t>
      </w:r>
    </w:p>
    <w:p w14:paraId="73F50787" w14:textId="77777777" w:rsidR="00713F98" w:rsidRDefault="00713F98" w:rsidP="00713F98">
      <w:pPr>
        <w:jc w:val="both"/>
      </w:pPr>
      <w:r w:rsidRPr="00713F98">
        <w:rPr>
          <w:b/>
          <w:bCs/>
        </w:rPr>
        <w:t>Dataset:</w:t>
      </w:r>
      <w:r w:rsidRPr="00713F98">
        <w:t xml:space="preserve"> 10 US stocks · 26,331 rows · April 2016 – April 2026</w:t>
      </w:r>
    </w:p>
    <w:p w14:paraId="56F0353F" w14:textId="50B5BBDB" w:rsidR="00713F98" w:rsidRDefault="00713F98" w:rsidP="00713F98">
      <w:pPr>
        <w:jc w:val="both"/>
      </w:pPr>
      <w:r w:rsidRPr="00713F98">
        <w:t xml:space="preserve"> </w:t>
      </w:r>
      <w:r w:rsidRPr="00713F98">
        <w:rPr>
          <w:b/>
          <w:bCs/>
        </w:rPr>
        <w:t>Stocks:</w:t>
      </w:r>
      <w:r w:rsidRPr="00713F98">
        <w:t xml:space="preserve"> AAPL · AMZN · DIS · GOOGL · JPM · META · MSFT · NFLX · NVDA · TSLA</w:t>
      </w:r>
    </w:p>
    <w:p w14:paraId="52FE3081" w14:textId="77777777" w:rsidR="00713F98" w:rsidRDefault="00713F98" w:rsidP="00713F98">
      <w:pPr>
        <w:jc w:val="both"/>
      </w:pPr>
    </w:p>
    <w:p w14:paraId="08AD0CF6" w14:textId="58379E28" w:rsidR="00713F98" w:rsidRDefault="00713F98" w:rsidP="00713F98">
      <w:pPr>
        <w:jc w:val="both"/>
        <w:rPr>
          <w:b/>
          <w:bCs/>
          <w:sz w:val="28"/>
          <w:szCs w:val="28"/>
        </w:rPr>
      </w:pPr>
      <w:r w:rsidRPr="00713F98">
        <w:rPr>
          <w:b/>
          <w:bCs/>
          <w:sz w:val="28"/>
          <w:szCs w:val="28"/>
        </w:rPr>
        <w:t>Questions Answered</w:t>
      </w:r>
      <w:r>
        <w:rPr>
          <w:b/>
          <w:bCs/>
          <w:sz w:val="28"/>
          <w:szCs w:val="28"/>
        </w:rPr>
        <w:t>:</w:t>
      </w:r>
    </w:p>
    <w:p w14:paraId="75095503" w14:textId="7E2459C4" w:rsidR="00713F98" w:rsidRDefault="00713F98" w:rsidP="00713F98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713F98">
        <w:rPr>
          <w:b/>
          <w:bCs/>
        </w:rPr>
        <w:t>Which stocks delivered the best returns, and how do they compare on risk and efficiency?</w:t>
      </w:r>
    </w:p>
    <w:p w14:paraId="6F2C3B78" w14:textId="45D6AA75" w:rsidR="00713F98" w:rsidRPr="00713F98" w:rsidRDefault="00713F98" w:rsidP="00713F98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57563580" wp14:editId="0104FD6E">
            <wp:extent cx="6858000" cy="1941195"/>
            <wp:effectExtent l="0" t="0" r="0" b="1905"/>
            <wp:docPr id="183929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94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CFDA" w14:textId="5765F406" w:rsidR="00713F98" w:rsidRDefault="00713F98" w:rsidP="00713F98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713F98">
        <w:rPr>
          <w:b/>
          <w:bCs/>
        </w:rPr>
        <w:t>How did each stock perform year by year — which years were strong and which were losses?</w:t>
      </w:r>
    </w:p>
    <w:p w14:paraId="09738635" w14:textId="54E8EC72" w:rsidR="00713F98" w:rsidRDefault="00713F98" w:rsidP="00713F98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06C3BE83" wp14:editId="1DEE1386">
            <wp:extent cx="6858000" cy="2265045"/>
            <wp:effectExtent l="0" t="0" r="0" b="1905"/>
            <wp:docPr id="95389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92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6010" w14:textId="77777777" w:rsidR="00713F98" w:rsidRPr="00713F98" w:rsidRDefault="00713F98" w:rsidP="00713F98">
      <w:pPr>
        <w:jc w:val="both"/>
        <w:rPr>
          <w:b/>
          <w:bCs/>
        </w:rPr>
      </w:pPr>
    </w:p>
    <w:p w14:paraId="525CD759" w14:textId="73AB7829" w:rsidR="00713F98" w:rsidRDefault="00713F98" w:rsidP="00713F98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713F98">
        <w:rPr>
          <w:b/>
          <w:bCs/>
        </w:rPr>
        <w:lastRenderedPageBreak/>
        <w:t>Are there consistent monthly patterns — which months are historically best or worst for each stock?</w:t>
      </w:r>
    </w:p>
    <w:p w14:paraId="45BBF666" w14:textId="7E3BBA1E" w:rsidR="00713F98" w:rsidRDefault="00713F98" w:rsidP="00713F98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54600051" wp14:editId="6D9E6451">
            <wp:extent cx="6858000" cy="2211705"/>
            <wp:effectExtent l="0" t="0" r="0" b="0"/>
            <wp:docPr id="194882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21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CCB3" w14:textId="77777777" w:rsidR="00713F98" w:rsidRPr="00713F98" w:rsidRDefault="00713F98" w:rsidP="00713F98">
      <w:pPr>
        <w:jc w:val="both"/>
        <w:rPr>
          <w:b/>
          <w:bCs/>
          <w:sz w:val="28"/>
          <w:szCs w:val="28"/>
        </w:rPr>
      </w:pPr>
      <w:r w:rsidRPr="00713F98">
        <w:rPr>
          <w:b/>
          <w:bCs/>
          <w:sz w:val="28"/>
          <w:szCs w:val="28"/>
        </w:rPr>
        <w:t>Key Insights</w:t>
      </w:r>
    </w:p>
    <w:p w14:paraId="5F879564" w14:textId="77777777" w:rsidR="00713F98" w:rsidRPr="00713F98" w:rsidRDefault="00713F98" w:rsidP="00713F98">
      <w:pPr>
        <w:jc w:val="both"/>
        <w:rPr>
          <w:b/>
          <w:bCs/>
        </w:rPr>
      </w:pPr>
      <w:r w:rsidRPr="00713F98">
        <w:rPr>
          <w:b/>
          <w:bCs/>
        </w:rPr>
        <w:t>From the Stock Scorecard:</w:t>
      </w:r>
    </w:p>
    <w:p w14:paraId="6F7AF72A" w14:textId="77777777" w:rsidR="00713F98" w:rsidRPr="00713F98" w:rsidRDefault="00713F98" w:rsidP="00713F98">
      <w:pPr>
        <w:pStyle w:val="NoSpacing"/>
        <w:numPr>
          <w:ilvl w:val="0"/>
          <w:numId w:val="5"/>
        </w:numPr>
      </w:pPr>
      <w:r w:rsidRPr="00713F98">
        <w:t xml:space="preserve">TSLA was the top performer with </w:t>
      </w:r>
      <w:r w:rsidRPr="009B3F91">
        <w:rPr>
          <w:b/>
          <w:bCs/>
        </w:rPr>
        <w:t>753% cumulative return</w:t>
      </w:r>
      <w:r w:rsidRPr="00713F98">
        <w:t xml:space="preserve">, but also carries one of the highest average </w:t>
      </w:r>
      <w:proofErr w:type="spellStart"/>
      <w:r w:rsidRPr="00713F98">
        <w:t>annualised</w:t>
      </w:r>
      <w:proofErr w:type="spellEnd"/>
      <w:r w:rsidRPr="00713F98">
        <w:t xml:space="preserve"> volatilities (~31.4%) — rewarding but extremely risky</w:t>
      </w:r>
    </w:p>
    <w:p w14:paraId="5B68FE4B" w14:textId="77777777" w:rsidR="00713F98" w:rsidRPr="00713F98" w:rsidRDefault="00713F98" w:rsidP="00713F98">
      <w:pPr>
        <w:pStyle w:val="NoSpacing"/>
        <w:numPr>
          <w:ilvl w:val="0"/>
          <w:numId w:val="5"/>
        </w:numPr>
      </w:pPr>
      <w:r w:rsidRPr="00713F98">
        <w:t>AMZN and NFLX ranked 2nd and 3rd with 658% and 624% respectively, both with solid Sharpe ratios (0.62 and 0.46), meaning their returns were relatively well-compensated for the risk taken</w:t>
      </w:r>
    </w:p>
    <w:p w14:paraId="65F05CC9" w14:textId="77777777" w:rsidR="00713F98" w:rsidRPr="00713F98" w:rsidRDefault="00713F98" w:rsidP="00713F98">
      <w:pPr>
        <w:pStyle w:val="NoSpacing"/>
        <w:numPr>
          <w:ilvl w:val="0"/>
          <w:numId w:val="5"/>
        </w:numPr>
      </w:pPr>
      <w:r w:rsidRPr="00713F98">
        <w:t>MSFT and DIS rank 4th and 5th — MSFT is the most consistent quality compounder with a steady Sharpe of 0.32</w:t>
      </w:r>
    </w:p>
    <w:p w14:paraId="5124672E" w14:textId="77777777" w:rsidR="00713F98" w:rsidRPr="00713F98" w:rsidRDefault="00713F98" w:rsidP="00713F98">
      <w:pPr>
        <w:pStyle w:val="NoSpacing"/>
        <w:numPr>
          <w:ilvl w:val="0"/>
          <w:numId w:val="5"/>
        </w:numPr>
      </w:pPr>
      <w:r w:rsidRPr="00713F98">
        <w:t xml:space="preserve">GOOGL and AAPL have </w:t>
      </w:r>
      <w:r w:rsidRPr="009B3F91">
        <w:rPr>
          <w:b/>
          <w:bCs/>
        </w:rPr>
        <w:t>negative Sharpe Ratios</w:t>
      </w:r>
      <w:r w:rsidRPr="00713F98">
        <w:t xml:space="preserve"> (-0.12 and -0.01), meaning over this period they technically did not compensate investors adequately for the risk they carried</w:t>
      </w:r>
    </w:p>
    <w:p w14:paraId="7C973995" w14:textId="77777777" w:rsidR="00713F98" w:rsidRDefault="00713F98" w:rsidP="00713F98">
      <w:pPr>
        <w:pStyle w:val="NoSpacing"/>
        <w:numPr>
          <w:ilvl w:val="0"/>
          <w:numId w:val="5"/>
        </w:numPr>
      </w:pPr>
      <w:r w:rsidRPr="00713F98">
        <w:t>JPM (0.19 Sharpe) delivered modest but positive risk-adjusted returns — the most "defensive" stock in the group</w:t>
      </w:r>
    </w:p>
    <w:p w14:paraId="62C1C993" w14:textId="77777777" w:rsidR="00713F98" w:rsidRPr="00713F98" w:rsidRDefault="00713F98" w:rsidP="00713F98">
      <w:pPr>
        <w:pStyle w:val="NoSpacing"/>
      </w:pPr>
    </w:p>
    <w:p w14:paraId="5088FC38" w14:textId="77777777" w:rsidR="00713F98" w:rsidRPr="00713F98" w:rsidRDefault="00713F98" w:rsidP="00713F98">
      <w:pPr>
        <w:jc w:val="both"/>
        <w:rPr>
          <w:b/>
          <w:bCs/>
        </w:rPr>
      </w:pPr>
      <w:r w:rsidRPr="00713F98">
        <w:rPr>
          <w:b/>
          <w:bCs/>
        </w:rPr>
        <w:t>From Year-by-Year Return:</w:t>
      </w:r>
    </w:p>
    <w:p w14:paraId="3240CA2F" w14:textId="77777777" w:rsidR="00713F98" w:rsidRPr="00713F98" w:rsidRDefault="00713F98" w:rsidP="00713F98">
      <w:pPr>
        <w:pStyle w:val="NoSpacing"/>
        <w:numPr>
          <w:ilvl w:val="0"/>
          <w:numId w:val="6"/>
        </w:numPr>
      </w:pPr>
      <w:r w:rsidRPr="009B3F91">
        <w:rPr>
          <w:b/>
          <w:bCs/>
        </w:rPr>
        <w:t>2021 was the best single year</w:t>
      </w:r>
      <w:r w:rsidRPr="00713F98">
        <w:t xml:space="preserve"> across the portfolio — AAPL (+51.75%), AMZN (+45.16%), TSLA positive, and most stocks strongly positive</w:t>
      </w:r>
    </w:p>
    <w:p w14:paraId="7A993EBE" w14:textId="77777777" w:rsidR="00713F98" w:rsidRPr="00713F98" w:rsidRDefault="00713F98" w:rsidP="00713F98">
      <w:pPr>
        <w:pStyle w:val="NoSpacing"/>
        <w:numPr>
          <w:ilvl w:val="0"/>
          <w:numId w:val="6"/>
        </w:numPr>
      </w:pPr>
      <w:r w:rsidRPr="009B3F91">
        <w:rPr>
          <w:b/>
          <w:bCs/>
        </w:rPr>
        <w:t>2022 was the worst year universally</w:t>
      </w:r>
      <w:r w:rsidRPr="00713F98">
        <w:t xml:space="preserve"> — AAPL -51.35%, GOOGL -30.09%, META -31.47%, MSFT -24.69%. Only JPM (+4.92%) and DIS (+20.74%) held up — a classic growth-to-value rotation driven by rising interest rates</w:t>
      </w:r>
    </w:p>
    <w:p w14:paraId="6408FEC6" w14:textId="77777777" w:rsidR="00713F98" w:rsidRPr="00713F98" w:rsidRDefault="00713F98" w:rsidP="00713F98">
      <w:pPr>
        <w:pStyle w:val="NoSpacing"/>
        <w:numPr>
          <w:ilvl w:val="0"/>
          <w:numId w:val="6"/>
        </w:numPr>
      </w:pPr>
      <w:r w:rsidRPr="00713F98">
        <w:t>TSLA is the most volatile year-to-year stock: swings between +68.84% (2020) and deep negatives in other years</w:t>
      </w:r>
    </w:p>
    <w:p w14:paraId="4822E698" w14:textId="77777777" w:rsidR="00713F98" w:rsidRDefault="00713F98" w:rsidP="00713F98">
      <w:pPr>
        <w:pStyle w:val="NoSpacing"/>
        <w:numPr>
          <w:ilvl w:val="0"/>
          <w:numId w:val="6"/>
        </w:numPr>
      </w:pPr>
      <w:r w:rsidRPr="00713F98">
        <w:t xml:space="preserve">DIS had a remarkable 2024 (+63.4%) after years of underperformance — showing late-cycle recovery </w:t>
      </w:r>
      <w:proofErr w:type="spellStart"/>
      <w:r w:rsidRPr="00713F98">
        <w:t>behaviour</w:t>
      </w:r>
      <w:proofErr w:type="spellEnd"/>
    </w:p>
    <w:p w14:paraId="72CEC8C2" w14:textId="77777777" w:rsidR="00713F98" w:rsidRPr="00713F98" w:rsidRDefault="00713F98" w:rsidP="00713F98">
      <w:pPr>
        <w:pStyle w:val="NoSpacing"/>
      </w:pPr>
    </w:p>
    <w:p w14:paraId="7DF527F0" w14:textId="77777777" w:rsidR="00713F98" w:rsidRPr="00713F98" w:rsidRDefault="00713F98" w:rsidP="00713F98">
      <w:pPr>
        <w:jc w:val="both"/>
        <w:rPr>
          <w:b/>
          <w:bCs/>
        </w:rPr>
      </w:pPr>
      <w:r w:rsidRPr="00713F98">
        <w:rPr>
          <w:b/>
          <w:bCs/>
        </w:rPr>
        <w:t>From Monthly Seasonality:</w:t>
      </w:r>
    </w:p>
    <w:p w14:paraId="410A1068" w14:textId="77777777" w:rsidR="00713F98" w:rsidRPr="00713F98" w:rsidRDefault="00713F98" w:rsidP="00713F98">
      <w:pPr>
        <w:pStyle w:val="NoSpacing"/>
        <w:numPr>
          <w:ilvl w:val="0"/>
          <w:numId w:val="7"/>
        </w:numPr>
      </w:pPr>
      <w:r w:rsidRPr="009B3F91">
        <w:rPr>
          <w:b/>
          <w:bCs/>
        </w:rPr>
        <w:t>April is the strongest month</w:t>
      </w:r>
      <w:r w:rsidRPr="00713F98">
        <w:t xml:space="preserve"> across the portfolio — TSLA averages +0.44%, MSFT +0.19%, META +0.14% in April, driven by Q1 earnings season</w:t>
      </w:r>
    </w:p>
    <w:p w14:paraId="3A24471D" w14:textId="77777777" w:rsidR="00713F98" w:rsidRPr="00713F98" w:rsidRDefault="00713F98" w:rsidP="00713F98">
      <w:pPr>
        <w:pStyle w:val="NoSpacing"/>
        <w:numPr>
          <w:ilvl w:val="0"/>
          <w:numId w:val="7"/>
        </w:numPr>
      </w:pPr>
      <w:r w:rsidRPr="009B3F91">
        <w:rPr>
          <w:b/>
          <w:bCs/>
        </w:rPr>
        <w:t>December is the weakest month</w:t>
      </w:r>
      <w:r w:rsidRPr="00713F98">
        <w:t xml:space="preserve"> for AAPL (-0.31% avg daily return </w:t>
      </w:r>
      <w:proofErr w:type="spellStart"/>
      <w:r w:rsidRPr="00713F98">
        <w:t>annualised</w:t>
      </w:r>
      <w:proofErr w:type="spellEnd"/>
      <w:r w:rsidRPr="00713F98">
        <w:t>) and META (-0.11%), contradicting the popular "Santa Rally" narrative for these specific stocks</w:t>
      </w:r>
    </w:p>
    <w:p w14:paraId="1CC8FB81" w14:textId="77777777" w:rsidR="00713F98" w:rsidRPr="00713F98" w:rsidRDefault="00713F98" w:rsidP="00713F98">
      <w:pPr>
        <w:pStyle w:val="NoSpacing"/>
        <w:numPr>
          <w:ilvl w:val="0"/>
          <w:numId w:val="7"/>
        </w:numPr>
      </w:pPr>
      <w:r w:rsidRPr="009B3F91">
        <w:rPr>
          <w:b/>
          <w:bCs/>
        </w:rPr>
        <w:t>March is strong for GOOGL</w:t>
      </w:r>
      <w:r w:rsidRPr="00713F98">
        <w:t xml:space="preserve"> (+0.35%) and NVDA (+0.33%) — likely driven by institutional rebalancing and pre-earnings positioning</w:t>
      </w:r>
    </w:p>
    <w:p w14:paraId="656540C7" w14:textId="77777777" w:rsidR="00713F98" w:rsidRPr="00713F98" w:rsidRDefault="00713F98" w:rsidP="00713F98">
      <w:pPr>
        <w:pStyle w:val="NoSpacing"/>
        <w:numPr>
          <w:ilvl w:val="0"/>
          <w:numId w:val="7"/>
        </w:numPr>
      </w:pPr>
      <w:r w:rsidRPr="009B3F91">
        <w:rPr>
          <w:b/>
          <w:bCs/>
        </w:rPr>
        <w:lastRenderedPageBreak/>
        <w:t>September and November are weak months for NVDA</w:t>
      </w:r>
      <w:r w:rsidRPr="00713F98">
        <w:t xml:space="preserve"> (-0.0031% and -0.24% respectively), showing a clear seasonal vulnerability in the semiconductor sector</w:t>
      </w:r>
    </w:p>
    <w:p w14:paraId="787305FB" w14:textId="77777777" w:rsidR="00713F98" w:rsidRPr="00713F98" w:rsidRDefault="00713F98" w:rsidP="00713F98">
      <w:pPr>
        <w:pStyle w:val="NoSpacing"/>
        <w:numPr>
          <w:ilvl w:val="0"/>
          <w:numId w:val="7"/>
        </w:numPr>
      </w:pPr>
      <w:r w:rsidRPr="00713F98">
        <w:t>TSLA shows the most dramatic monthly extremes: very strong April/May/March, very weak January and August</w:t>
      </w:r>
    </w:p>
    <w:p w14:paraId="22159FFF" w14:textId="77777777" w:rsidR="00713F98" w:rsidRPr="00713F98" w:rsidRDefault="00713F98" w:rsidP="00713F98">
      <w:pPr>
        <w:jc w:val="both"/>
      </w:pPr>
    </w:p>
    <w:p w14:paraId="06BF9D1B" w14:textId="77777777" w:rsidR="00713F98" w:rsidRPr="00713F98" w:rsidRDefault="00713F98" w:rsidP="00713F98"/>
    <w:sectPr w:rsidR="00713F98" w:rsidRPr="00713F98" w:rsidSect="00713F9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B619F"/>
    <w:multiLevelType w:val="hybridMultilevel"/>
    <w:tmpl w:val="C5DC1A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A300099"/>
    <w:multiLevelType w:val="multilevel"/>
    <w:tmpl w:val="282E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D14C9"/>
    <w:multiLevelType w:val="hybridMultilevel"/>
    <w:tmpl w:val="3DDA62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E7849A6"/>
    <w:multiLevelType w:val="hybridMultilevel"/>
    <w:tmpl w:val="E8C8E3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3845DF"/>
    <w:multiLevelType w:val="hybridMultilevel"/>
    <w:tmpl w:val="5CB4E6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0692EC4"/>
    <w:multiLevelType w:val="multilevel"/>
    <w:tmpl w:val="A852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B7629"/>
    <w:multiLevelType w:val="multilevel"/>
    <w:tmpl w:val="9A0A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34438">
    <w:abstractNumId w:val="4"/>
  </w:num>
  <w:num w:numId="2" w16cid:durableId="1261135546">
    <w:abstractNumId w:val="6"/>
  </w:num>
  <w:num w:numId="3" w16cid:durableId="994530125">
    <w:abstractNumId w:val="1"/>
  </w:num>
  <w:num w:numId="4" w16cid:durableId="1681933745">
    <w:abstractNumId w:val="5"/>
  </w:num>
  <w:num w:numId="5" w16cid:durableId="732894231">
    <w:abstractNumId w:val="3"/>
  </w:num>
  <w:num w:numId="6" w16cid:durableId="951017876">
    <w:abstractNumId w:val="0"/>
  </w:num>
  <w:num w:numId="7" w16cid:durableId="169221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F98"/>
    <w:rsid w:val="0011045A"/>
    <w:rsid w:val="00454582"/>
    <w:rsid w:val="00713F98"/>
    <w:rsid w:val="007D2501"/>
    <w:rsid w:val="009B3F91"/>
    <w:rsid w:val="00C87930"/>
    <w:rsid w:val="00E5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05DA4"/>
  <w15:chartTrackingRefBased/>
  <w15:docId w15:val="{1C776C8E-1D9A-48F1-A74B-8E71F3D0B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F9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13F9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Anishu Ansari</dc:creator>
  <cp:keywords/>
  <dc:description/>
  <cp:lastModifiedBy>Anishu Ansari</cp:lastModifiedBy>
  <cp:revision>2</cp:revision>
  <dcterms:created xsi:type="dcterms:W3CDTF">2026-04-25T13:06:00Z</dcterms:created>
  <dcterms:modified xsi:type="dcterms:W3CDTF">2026-04-25T13:18:00Z</dcterms:modified>
</cp:coreProperties>
</file>