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Boldness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ImpactCartographyBoldness Boldness Published on March 19th, 2024 Summary Who dares wins Our development is based on a paradigm shift recycling, sobriety, circular economy. Who dares wins Econocom's development is the result of a bold paradigm shift recycling is desirable, sustainable and profitable  for as many people as possible over the long term.Frugality and sobriety have been solid benchmarks ever since we started bringing refurbished hardware back onto the market and developing useful services. Theyve become civic virtues.We're doing our part for the circular economy while at the same time being attentive and supportive. Dignity requires social recognition, which is why we work with organisations which help people who are far removed from employment reintegrate into society.Being ahead of the trends, doing things differently and more cheaply, going where others won't  this is the boldness which allows us to innovate in the definition of our offerings, to seek out solutions which no one has ever used, to pay constant attention to our customers and to new needs and uses. These are the bases of our action. Proof SBTi a desirable constraint Boldness means having the courage to follow the IPCC's recommendations and submit to international scientific programmes such as the SBTi in order to accelerate the reduction of our footprint Acting quickly and well really and drastically reduces our impact.What is SBTi? The Science Based Targets Initiative is a partnership between WWF, the United Nations Global Compact, the World Resources Institute and the Carbon Disclosure Project. It's a process which allows companies to align themselves with rigorous scientific criteria in order to measure and reduce their impact. The objective of zero deforestation and absolute preservation of water resources is one of the measures taken into account to reflect the companies' trajectory towards the 1.5 objective which they are aiming for. High standards drive progress. Zero emissions target. The NetZero Standard offers companies a very clear work plan for reducing their emissions, based on scientific criteria, which is nonnegotiable in this decisive decade for climate action  because time is running out. Johan Rockstrm, Director of the Potsdam University Institute for Climate Impact Research. Setting an SBTi target involves 5 steps Is SBTi a scientific methodology? Yes, and that's great! Any coherent approach must be rational, logical and measured. These are cardinal principles for the SBTi process. The body of work required to meet the SBTi criteria is considerable. This is a highlystructured activity which requires preparation, data compilation and methodical monitoring by a dedicated team over a period of several months. To understand the vision, criteria and methods of SBTi At the end of 2023, Econocom Group signed the SBTi commitment letter. In 2024, our sciencebased targets for reducing our emissions in the short term were validated, thereby ensuring our commitment to achieving the Paris Agreement goal of limiting global temperature increase to 1.5 C compared to preindustrial levels.This is a crucial milestone for the group in terms of reducing the carbon footprint of its operations. This new approach will also increase our credibility within the ecosystem, particularly with our clients, who want to work with environmentally responsible companies.The SBTi has validated Econocom Groups Scope 1 and 2 emissionreducing targets, ensuring that we are well on track for achieving 1.5C.Econocom Groups three official objectives are as followsTo reduce its scope 1 and 2 GES emissions by 61.4 by 2028 compared with 2018.To increase the annual proportion of renewable electricity from 5 in 2018 to 92 by 2028.To ensure that 100 of its suppliers set SBTi goals for the emissions generated by their goods and services by 2028. Commitment letter SBTI Understanding Scopes 1, 2 and 3 The SBTi is a project initiated by global organisations with identified and recognised methods. WWFThe World Wildlife Fund was set up in 1962 in Switzerland to protect the ecosystem, and is one of the founding organisations of the Science Based Targets Initiative, which was launched in 2015 with the aim of encouraging companies and financial institutions to use science to set targets for reducing their environmental footprint. CDPThe Carbon Disclosure Project is a notforprofit organisation which has been based in Berlin since 2012. It compiles the largest database of carbon impact data, provided by thousands of companies, communities and organisations. CDP is the benchmark for environmental reporting, with values which we believe to be fair Choosing transparency by default, putting responsibility at the heart of our concerns, learning and improving, succeeding together. World Resources InstituteThis binding initiative for companies aims to limit global warming by proposing solutions to global challenges. The major role of private initiatives in this revolution in usage is recognised. To find out everything you need to know about this mission as quickly as possible, here's Liz Kingo's explanation the person in charge of the Compact. Boldness Decarbonation Back to map Want to discuss sustainability, responsible digital and social economy, or circular economy? Contact us Explore Deltrian chooses Econocom to finance its energy transition bbnet  Econocom a strategic acquisition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