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Innovative and ambitious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ImpactCartographyInnovative and ambitious Innovative and ambitious Angel Benguigui Diaz Chief Executive Officer Published on March 19th, 2024 Impact at the heart of our growth Our approach is resolutely forwardlooking innovation meets audacity and every initiative is guided by an ambitious vision of growth with impact. With innovation and ambition as the cornerstones of responsible growth, were building a dynamic world where these two concepts pave the way for growth which goes beyond conventional boundaries.This year, the expansion of our extrafinancial KPIs gives us a clearer picture of our progress. Weve defined clear CSR objectives in line with the IPCC recommendations and the principles of the UN World Compact. This has resulted in a significant reduction in our carbon emissions. Solidarity within the Group has been strengthened on a daily basis thanks to innovative partnerships which enable a wide range of people to receive training and find employment. Our teams have also provided local support for causes close to their hearts, and weve demonstrated our commitment by resolutely including people with disabilities at all levels of responsibility. The success of our innovative services  which are designed for a constantly evolving circular economy  is the best recognition of the effectiveness and impact of our actions by our customers.The results of the impact strategy defined five years ago are therefore positive. Were halfway towards achieving our objectives, and over the next five years we must persevere and aspire to do ever better in order to fully assume our corporate responsibility. This is the path mapped out by our One Econocom strategic plan, which was announced in November 2023. Choosing to be ambitious means actively working to reduce our environmental footprint by 61,4 for scopes 1 and 2 by 2028. We will make our strategic purchases from SBTiengaged suppliers because emissions related to the purchase of goods and services account for more than 81 of our CO2 emissions. also means attracting as many people as possible and creating the desire to contribute to this collective adventure, all the while developing new skills and expertise to serve this mission. We firmly believe in the relevance of our agile innovation model and are investing in tools which will significantly accelerate our growth in the circular economy. At the same time, were speeding up innovation by working directly with our customers and involving our entire ecosystem in order to rapidly transform our business.Our ambition in terms of impact and growth is therefore realistic. Its based on solid foundations and reflects our collective determination to become a major player in the responsible economy. Our contribution to decarbonizing the economy signed letters Editorial circular economy Digital responsibility Back to map Want to discuss sustainability, responsible digital and social economy, or circular economy? Contact us Explore bbnet  Econocom a strategic acquisition Lenovos sustainability leadership in action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