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A marker of our difference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wealth of our commitmentsA marker of our difference A marker of our difference Published on March 24th, 2024 Summary Diversity is a source of pride With 9,000 employees, weve been promoting diversity, a responsible economy and inclusion for 50 years. It's one of the hallmarks of our difference. Measure of excellence The Ecovadis CSR ranking puts us in the top 5 of companies. In synch with citizens A benchmark survey has recognised the reality of our social and environmental responsibility for the 2nd year running. Diversity is a source of pride We are composed of almost 9,000 people of very different cultures, languages and ages. We live and work in a wide variety of countries and regions.We've been working in the responsible economy from the outset pioneers in refurbishment, forerunners in the fight against obsolescence, trailblazers in hardware availability and payasyougo services The diversity of successive challenges has enabled us to develop a solid corporate mission. What began as a rebellion against the established order of waste is now a success story driven by our teams in all their complementary roles and recognised by the market. This diversity also translates into progress in gender equality in the workplace, with our gender equality index France rising in 2024, from 86 to 89,5100. Our businesses are very diverse, as are our customers and their needs. For half a century weve been building a company where respect for difference is essential, cultivated and shared. Diversity is our daily reality and forms the basis of our resilience.Weve set up platforms for whistleblowers no reports of discrimination for whatever reason were recorded in 2023 and 2024. Thats the same as previously. Measure of excellence Our ECOVADIS notation With a score of 76100, Econocom is one of the top 5 companies in terms of CSR out of a panel of over 6,000 companies assessed. Again this year, we won the gold medal ! We have improved by 2 points compared to 2024, thanks to actions targeted on human resources and responsible procurement. Our progress with Ecovadis Ecovadis is recognised as the global standard for CSR assessments.Thousands of companies have chosen it as their partner thanks to a performancesharing platform, a universal evaluation form, comparative analyses and continuous improvement tools. Mapping the intrinsic risks of 1.6 million suppliers is a powerful and reliable tool. In synch with citizens For the second year running weve been singled out in the French magazine Le Point 's ranking of responsible companies based on studies carried out by the Statista institute. This is a source of great pride since this is a ranking of CSR performance which takes into account the public's expectations of corporate responsibility, as well as the quantitative results of extrafinancial indicators. As part of this study, the CSR performance indicators and extrafinancial annual reports of 2,000 companies with offices in France and at least 500 employees were examined in detail, alongside an independent online survey of a sample of 5,000 people. diversity Solidarity Good faith Back to pillar Want to discuss sustainability, responsible digital and social economy, or circular economy? Contact us Explore Changes to CSR in tenders Employee volunteer scheme internal feedback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