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The reality of the figures  Econocom Skip to main content    FranaisEnglish Belgium France Germany Spain Italia Luxembourg Netherlands Poland United Kingdom United States Econocom HomeCartographyPillar 1The impact of our solutionsDeltrian chooses Econocom to finance its energy transition Deltrian committed to cleaner airA twofold challengeAn innovative financial solutionTracking to boost progressEconocoms key roleTimingbbnet  Econocom a strategic acquisitionThe ambitions of bbnetEconocom and bbnet AI a game changer ? Econocom Factory performance and impactInterview with Stanislas HussonThe future of Econocom FactoryRefurbished devices breaking down barriers to speed up the sustainable transformation The impact of AI on the refurbishment industry Boldness a catalyst for creativity and transformationA 360 responseCircularity is the solutionEasi, the universal impactInterview Galle MassonProduct Care, proof of sustainabilityGreen  Energy, the dual transitionInterview Frdric LouguetThe vital imperativeReducing CO2 acting quickly and decisivelyInterview de Stphane PalermoInterview d'Alexis NormandThe utility of virtueSaving the planetRefurbishing is the future Interview de Jean Loup de ReymaekertCertifications and labelsQuality requirementsISO 14001 the universal referenceAll articlesPillar 2The wealth of our commitmentsChanges to CSR in tenders More demanding and structured criteriaChallenges that match ambitionsA more collaborative relationshipEmployee volunteer scheme internal feedbackWhat role does Komeet formerly Vendredi play in implementing the corporate volunteering scheme?The volunteer programmes available on the platformCorporate volunteering and the Econocom groups commitmentJonathan Ravaud supporting education, an important cause for me Daria Zachcial  "helping to build confidence in young jobseekers"Muguette Siry  "helping future mums" POEI scheme discovering, training and hiring talentsPOEI a driver for inclusive, targeted recruitmentAn immersive, jointly developed training courseA tailored, vocational courseEmployee engagement a key social and environmentalCorporate volunteeringInterview with Julian Guerin What does Vendredi do ? VOKA Sustainability CharterHilde Janssens' interviewWhy did Econocom Belgium want to obtain this charter?Examples of defined action plans and concrete resultsWhat would be the next step? A marker of our differenceDiversity is a source of prideMeasure of excellenceIn synch with citizensWorking intelligentlyKnow your potentialLifelong learningInclude all willsWellmeasured fairness Removing obstaclesInterview de Charlotte LaforgeTraining for impact Interview de Pierre GirardeauInterview d'Emanuela VerzeniInterview de Jean GuoSolidarity obliges usSupportive, useful and effectiveSupporting emancipationCivic sponsorshipAll articlesPillar 3LandmarksLenovos sustainability leadership in actionThe importance of sustainability A smarter circular approach Lenovo 360 CircleAILenovo and Econocom The rise in the refurbished equipment marketInterview with Laurent LamoureuxReasons for the rise in refurbishingPurchasing habits of public and private organizationsHow to help overcome these reservationsEconocoms partnersCSRD all hands on deck!Interview with Badis Belgacem and Franois BaziDouble materiality the cornerstone of CSRDThe companies concernedPutting together Econocoms 2023 reportHP committed to sustainability Video interview with Matthieu SabinHow to introduce a circular approach in digital technology ? Amplify impact  initiative de HPinc pour un numrique plus responsable Une reconnaissance d'excellence pour EconocomUn cosystme de partenaires engagsPAC Survey on Responsible Digital Practices in EuropeHow digitally responsible are companies?Infographie de l'tude PAC 2024 Studies weak signals, strong currentsWhat we learn...Interview of Vroniquer TornerSecondhand becomes first choiceTimelineAll articles got a project? join us Econocom follow us got a project? Equipment All equipment EndUser Computing Mobility Audiovisual Infrastructure Product Care Services All services User environments Cloud, infrastructure and hybridisation Applications and data Cybersecurity financing All our financing solutions Technological, industrial and energy financing For immediate cash flow Financing partner sales Managing and coordinating assets A platform for reselling assets to employees Collecting, recycling and reusing assets Optimising and financing the energy transition Measuring, reducing and offsetting your carbon footprint Manage your environmental performance Refurbished equipment leased i.tem  Intelligent Tech Equipment Management Audiovisual Comprehensive solutions Digitalise your workplace Enhance your business mobility Enhance digital learning Microsoft comprehensive solution Develop responsible and circular digital technology get to know us The Econocom Group CSR Commitments Ethics and compliance Governance Board of Directors Executive Committee Group Management Committee Group Support Functions Econocom Impact Homepage The impact of our solutions The wealth of our commitments Landmarks Careers Job opportunities Become a sales agent! Employee testimonials Our jobs Working at Econocom Investors Financial results Financial calendar Key figures Regulated information Share General meetings Financial reports Newsroom Latest articles Press releases News Events Case studies Blog Contact Econocom Econocom ImpactCartographyThe reality of the figures The reality of the figures Published on March 19th, 2024 20  of Econocom's internal IT CO2 emissions 504 K refurbished or recycled assets per year TOP 850 of europe's most committed companies to diversity and inclusion 2 pts Ecovadis rating 6.06  employees with disabilities in France 10 Top 250 of France's most responsible companies Sustained progress Weve delivered on our commitment by refurbishing a growing number of IT hardware units, both professional and consumer reaching 410,000 units in 2021, 493,000 in 2023 and 504,570 in 2024. At the same time, we have seen a 10 fall in our groups internal digital energy usage between 2023 and 2024. Econocom has therefore reduced its digital energy consumption for the eighth consecutive year, dividing it by more than 3.8 since 2017. This decrease is mainly due to the combination of several new green IT measures implemented in 2024, in addition to those in previous years.In 2025, Econocom is continuing its efforts to reduce its digital carbon footprint by implementing recommendations from the previous year such as the extension of equipment usage phase or the reduction in electricity consumption on infrastructures.The trend towards teleworking has accelerated, with the number of employees benefiting from this option tripling from 30 in 2021 to 63 in 2022, 87 in 2023 and 88 in 2024. We hired 1984 people in 2024 as part of this drive. At the same time, the gender equality index in France rose from 86 to 89100, above the national average for companies with more than 1,000 employees. The percentage of disabled employees in France has been increased to 10 by 2022. This represents a doubling in five years. Today it stands at 6.06. In terms of professional development, 85 of our employees in France have taken cybersecurity and RDPD training. Our commitment to social responsibility and diversity has been recognised in prestigious league tables. We're proud to be one of the 250 most responsible companies in France according to the 2022 and 2023 rankings compiled by Statista for Le Point. Were also ranked among the 850 European companies most committed to diversity and inclusion according to Statista's 2023 ranking for the Financial Times.Weve continued to make progress with regard to our extrafinancial assessment, recording an increase of 2 points to reach a score of 76100 on the EcoVadis rating. This result reflects the quality of our CSR management system. We were honoured to receive the Gold Medal, which recognises the 5 of companies rated as the most committed. Digital responsibility diversity Solidarity Back to map Want to discuss sustainability, responsible digital and social economy, or circular economy? Contact us Explore Changes to CSR in tenders Employee volunteer scheme internal feedback In the same pillar EquipmentServicesfinancingAudiovisualComprehensive solutions The Hub.Paris 11 square Lon Blum 92800, Puteaux France 33 1 41 67 30 00 Registered office Place du Champ de Mars, 5 B14 1050 Brussels quick access the econocom group job opportunities become a sales agent econocom impact newsroom client area blog got a project? follow us Terms of use Cookies policy Credits Data protection policy 2026 ECONOCOM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