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Responsible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ImpactCartographyResponsible Responsible JeanLouis Bouchard Operational Chairman  Founder Published on March 19th, 2024 Embodiment The notion of responsibility takes on vital importance in a world where the actions of every company have repercussions far beyond their own sphere. We recognise that our impact goes beyond the products and services we offer. Thats why weve made responsibility the cornerstone of our strategy, decisions and corporate culture for 50 years. Were helping to build a desirable future, with common sense, utility and accessibility at the heart of our approach. As responsible digital entrepreneurs, our responsibility is not limited to complying with the standards and regulations in force. It's a commitment to the revolution for a useful, fair and sustainable economy based on Tech, for the benefit of as many people as possible. We comprise 9,000 employees with a common goal, and we serve more than 2 million users. We have ambitious objectives based on our essential values audacity, good faith and responsiveness These are the foundations of our economic results as well as our environmental and social performance. Our impact is measured not just with regard to sales or market share, but also in terms of the positive contributions we make to society, the environment and the lives of each and every one of our employees. Every offering we develop and every initiative we launch is the fruit of indepth reflection on its global impact, based on transparency and the scientific measurement of our performance. Im very proud of the concrete steps weve taken to reduce our environmental footprint and that of our customers. What was an intuition 50 years ago has become a reality the company must be responsible in its actions and effectively contribute to the common good.However, our journey towards greater responsibility is neverending.Were committed to pursuing our mission with perseverance. We encourage each and every one of us to make this vision of responsibility part of our daily lives, because together well shape our impact and leave a positive legacy.Together, let's continue to be the architects of our responsible future, demonstrating that success must be both economic and social. Editorial Boldness Usefulness Back to map Want to discuss sustainability, responsible digital and social economy, or circular economy? Contact us Explore Changes to CSR in tenders Employee volunteer scheme internal feedback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