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Strategic and responsible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ImpactCartographyStrategic and responsible Strategic and responsible Published on March 19th, 2024 Deployment of the "One Econocom" 2028 strategic plan "One Econocom," our strategic plan launched in November 2023 press release, will guide our path and our actions for the next five years. Its built around the fundamental principles of unity, cohesion and collective growth and it sets out the measure of our financial and nonfinancial ambitions. These ambitions linked in particular to the agility, usefulness and circularity of our offerings, with circularity as a historical and intrinsic principle of our business model. We listen to the weak signals to determine the strong currents, and we react with agility and determination, offering new products tailored to real needs. Growth isnt just a quest for financial success. Its also the mark of constant innovation and adaptability to the changes and new needs of our customers, who with the popularisation of teleworking are increasingly oriented towards as a service solutions with complex architectures and a strong environmental and societal concern. Our vision as Responsible Digital Entrepreneurs Clients  Strengthening sustainable digital models Commitments for 2028Refurbishing and recycling Econocom forecasts an increase from 0.5M to 1.5M refurbished and recycled assets.Life extension and maintenance through its ProductCare offering, Econocom forecasts an increase from 0.9M to 1.5M assets maintained. x3 1.5M refurbished assets vs 2023 x2 1.5M maintained assets serviced in our repair centers vs 2023 Environ ment  Contributing to a positive impact Commitments for 2028Reach the top 1 by obtaining Ecovadis Platinum certificationcontinue efforts on our SBTi action plan by reducing our carbon footprint by 61,4 on scopes 1 and 2 reference year 2018 and working with our partners on scope 3 61,4  carbon footprint scopes 12 vs 2018 almost 50  of our IT purchases are already from SBTIapproved suppliers scope 3 vs 2023 Employees  Committed to being a benchmark employer Commitments for 2028 Comply with international human resources certificationsContinue to improve the gender equality index beyond 90100 for the GroupAn inclusive social model, working with Mission Handicap on the employment of disabled employees  90 100 Gender equality index vs 2023 x2 number of people with disabilities vs 2023 Digital responsibility circular economy Back to map Want to discuss sustainability, responsible digital and social economy, or circular economy? Contact us Explore bbnet  Econocom a strategic acquisition Lenovos sustainability leadership in action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