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Studies weak signals, strong currents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ImpactLandmarksStudies weak signals, strong currents Studies weak signals, strong currents Published on March 24th, 2024 Summary What we learn... Sustainable and responsible services are indicators of choice for decisionmakers. Interview of Vroniquer Torner Engager le numrique dans la trajectoire de l'impact Secondhand becomes first choice Refurbished products are on the rise. What we learn... Worldwide, the Canalys study, published annually on the basis of over 6,000 responses from business leaders, provides a global understanding of their expectations. It shows that sustainable and responsible service offerings are essential in the eyes of business leaders, taking environmental regulations, energy crises and user demands into account. This is why their monitoring of nonfinancial KPIs includes changes in Scope 3 see an explanation of the Scopes here. The expected benefits are considerable, with over 50 of European companies rating their ESGrelated revenues as positive. The collection and recycling, repair, refurbishing and resale of digital products are at the top of the list of expectations, but the compilation and analysis of data relating to the sustainability of products are seen as strategic issues. Each year Numeum publishes a survey to which several hundred CIOs in France respond.Responsibility is no longer optional virtually all calls for tender in the digital domain require suppliers to demonstrate their virtuous actions. 80  of digital companies implement energysaving measures 92  of IT Departments perform calls for tender with the obligation to demonstrate responsible actions for their suppliers, compared with 66 in 2020 76  of digital companies respond to at least one call for tenders that includes CSR criteria. 87  of digital companies plan to step up their digital responsibility initiatives in 2023 Most companies have made commitments to decarbonise.Responsible digital projects are mainly focused on green IT e.g. ecodesign of software and IT services, accounting for 42.IT for green  the use of IT to improve the environmental, social and economic impact of a product or service  accounts for 24 of impact projects. Demand for responsible digital technology is growing rapidly 46 of CIOs have IT projects which support their company's 'business' CSR challenges. Actions for responsible digital practices Interview of Vroniquer Torner Ones perspective... Vronique Torner Numeum's President Embracing Digital for Impactful Trajectories "Digital technology has sparked significant disruptions, yet it's also an essential lever for navigating ongoing and future transitions. Engaging with digital means involving our members and the digital ecosystem in trajectories of positive impact, not only economically but also socially, societally, and environmentally." lorem ipsum Read more Secondhand becomes first choice In 2022, ahead of schedule we commissioned a survey from the IFOP to understand the motivations of people who buy refurbished phones. 64  of French people have bought or intend to buy a refurbished phone 31  of French people have bought or intend to buy a refurbished computer The first motivation is the price, which is more affordable than a new product.The second is the guarantee offered, and the third is the environmental factor. 66  of respondents would like to be able to keep it for up to 5 years. 62  of French people aged 18 to 65 have already sold or are considering selling one or more unused phones for refurbishment. Boldness Responsiveness Digital responsibility Back to pillar Want to discuss sustainability, responsible digital and social economy, or circular economy? Contact us Explore bbnet  Econocom a strategic acquisition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