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Working intelligently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ImpactThe wealth of our commitmentsWorking intelligently Working intelligently Published on March 20th, 2024 Summary Know your potential A rewarding integration process, personalised training and a "Welcome Day" for new employees. Lifelong learning Ongoing training is a key factor for success, as is mobility and flexible working arrangements to ensure a good worklife balance. Know your potential We believe that each individual should feel part of a flexible framework which allows them to develop their talents and the values of the company.Employees benefit from a personalised induction programme which enables them to gain a better understanding of the organisation, the teams and their daytoday activities, with an induction seminar, the "Welcome Day" during which they learn about the corporate culture, the organisation and the various business lines of the Econocom Group. Lifelong learning In 2024, the average number of hours of training per employee is 10.5 hours, for both "soft skills" and "hard skills". It's a key factor in success and professional emancipation and a source of wealth for the Group. Our interest in ethics will continue unabated in 2024, with 71 of employees taking part in the specific skills acquisition programme. Worklife balance Permanent teleworking over 2 or 3 days a week has been facilitated by the deployment of collaborative tools and solid training for managers.A short guide providing answers to the main questions has been published. The teleworking rate will be 88 in 2024, which is 3x higher than in 2021. Wellness at workHealth and wellbeing at work are some of the priorities. Econocom offers services to make everyday life easier, such asa concierge service at certain sites, academic support sports coaching Preventive health initiatives, such as Pink October in the fight against breast cancerand even connected canteens delivering fresh produce... Career development Econocom invests in its own resources and favours internal promotion by encouraging career development at every level of the company. All internal vacancies are accessible to all employees via a professional mobility website, and a Mobility Charter has been drawn up to encourage transfers between departments and activities. professional development Responsiveness Good faith Back to pillar Want to discuss sustainability, responsible digital and social economy, or circular economy? Contact us Explore POEI scheme discovering, training and hiring talents Lenovos sustainability leadership in action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