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ZEBRAFISH quarterly review</w:t>
      </w:r>
    </w:p>
    <w:p>
      <w:r>
        <w:t xml:space="preserve">Cross-check R&amp;D spend &lt; 5% against the compliance register.</w:t>
      </w:r>
    </w:p>
    <w:p>
      <w:r>
        <w:t>Before</w:t>
        <w:tab/>
        <w:t>after a tab</w:t>
        <w:br/>
        <w:t>after a break</w:t>
      </w:r>
    </w:p>
    <w:tbl>
      <w:tr>
        <w:tc>
          <w:p>
            <w:r>
              <w:t>Site</w:t>
            </w:r>
          </w:p>
        </w:tc>
        <w:tc>
          <w:p>
            <w:r>
              <w:t>Status</w:t>
            </w:r>
          </w:p>
        </w:tc>
        <w:tc>
          <w:p>
            <w:r>
              <w:t>Reviewed</w:t>
            </w:r>
          </w:p>
        </w:tc>
      </w:tr>
      <w:tr>
        <w:tc>
          <w:p>
            <w:r>
              <w:t>Northam</w:t>
            </w:r>
          </w:p>
        </w:tc>
        <w:tc>
          <w:p>
            <w:r>
              <w:t>compliant</w:t>
            </w:r>
          </w:p>
        </w:tc>
        <w:tc>
          <w:p>
            <w:r>
              <w:t>2026-03-11</w:t>
            </w:r>
          </w:p>
        </w:tc>
      </w:tr>
      <w:tr>
        <w:tc>
          <w:p>
            <w:r>
              <w:t>Geraldton</w:t>
            </w:r>
          </w:p>
        </w:tc>
        <w:tc>
          <w:p>
            <w:r>
              <w:t>at risk</w:t>
            </w:r>
          </w:p>
        </w:tc>
        <w:tc>
          <w:p>
            <w:r>
              <w:t>2026-05-02</w:t>
            </w:r>
          </w:p>
        </w:tc>
      </w:tr>
    </w:tbl>
    <w:p>
      <w:r>
        <w:t xml:space="preserve">Closing paragraph.</w:t>
      </w:r>
    </w:p>
  </w:body>
</w:document>
</file>