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AF" w:rsidRPr="000679AF" w:rsidRDefault="000679AF" w:rsidP="000679AF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</w:pP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fldChar w:fldCharType="begin"/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 HYPERLINK "http://www.trguvanjesoakcii.com/trguvanje/profitabilen-biznis-vlozuvanje-na-berza/" \o "Permanent Link to </w:instrText>
      </w:r>
      <w:r w:rsidRPr="000679AF">
        <w:rPr>
          <w:rFonts w:ascii="Cambria" w:eastAsia="Times New Roman" w:hAnsi="Cambria" w:cs="Cambria"/>
          <w:b/>
          <w:bCs/>
          <w:color w:val="222222"/>
          <w:sz w:val="24"/>
          <w:szCs w:val="24"/>
        </w:rPr>
        <w:instrText>Профитабилен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 </w:instrText>
      </w:r>
      <w:r w:rsidRPr="000679AF">
        <w:rPr>
          <w:rFonts w:ascii="Cambria" w:eastAsia="Times New Roman" w:hAnsi="Cambria" w:cs="Cambria"/>
          <w:b/>
          <w:bCs/>
          <w:color w:val="222222"/>
          <w:sz w:val="24"/>
          <w:szCs w:val="24"/>
        </w:rPr>
        <w:instrText>бизнис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 – </w:instrText>
      </w:r>
      <w:r w:rsidRPr="000679AF">
        <w:rPr>
          <w:rFonts w:ascii="Cambria" w:eastAsia="Times New Roman" w:hAnsi="Cambria" w:cs="Cambria"/>
          <w:b/>
          <w:bCs/>
          <w:color w:val="222222"/>
          <w:sz w:val="24"/>
          <w:szCs w:val="24"/>
        </w:rPr>
        <w:instrText>вложување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 </w:instrText>
      </w:r>
      <w:r w:rsidRPr="000679AF">
        <w:rPr>
          <w:rFonts w:ascii="Cambria" w:eastAsia="Times New Roman" w:hAnsi="Cambria" w:cs="Cambria"/>
          <w:b/>
          <w:bCs/>
          <w:color w:val="222222"/>
          <w:sz w:val="24"/>
          <w:szCs w:val="24"/>
        </w:rPr>
        <w:instrText>на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 </w:instrText>
      </w:r>
      <w:r w:rsidRPr="000679AF">
        <w:rPr>
          <w:rFonts w:ascii="Cambria" w:eastAsia="Times New Roman" w:hAnsi="Cambria" w:cs="Cambria"/>
          <w:b/>
          <w:bCs/>
          <w:color w:val="222222"/>
          <w:sz w:val="24"/>
          <w:szCs w:val="24"/>
        </w:rPr>
        <w:instrText>берза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instrText xml:space="preserve">" </w:instrText>
      </w:r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fldChar w:fldCharType="separate"/>
      </w:r>
      <w:proofErr w:type="spellStart"/>
      <w:r w:rsidRPr="000679AF">
        <w:rPr>
          <w:rFonts w:ascii="Cambria" w:eastAsia="Times New Roman" w:hAnsi="Cambria" w:cs="Cambria"/>
          <w:b/>
          <w:bCs/>
          <w:color w:val="010101"/>
          <w:sz w:val="31"/>
          <w:szCs w:val="31"/>
          <w:bdr w:val="none" w:sz="0" w:space="0" w:color="auto" w:frame="1"/>
        </w:rPr>
        <w:t>Профитабилен</w:t>
      </w:r>
      <w:proofErr w:type="spellEnd"/>
      <w:r w:rsidRPr="000679AF">
        <w:rPr>
          <w:rFonts w:ascii="Rockwell" w:eastAsia="Times New Roman" w:hAnsi="Rockwell" w:cs="Times New Roman"/>
          <w:b/>
          <w:bCs/>
          <w:color w:val="010101"/>
          <w:sz w:val="31"/>
          <w:szCs w:val="31"/>
          <w:bdr w:val="none" w:sz="0" w:space="0" w:color="auto" w:frame="1"/>
        </w:rPr>
        <w:t xml:space="preserve"> </w:t>
      </w:r>
      <w:proofErr w:type="spellStart"/>
      <w:r w:rsidRPr="000679AF">
        <w:rPr>
          <w:rFonts w:ascii="Cambria" w:eastAsia="Times New Roman" w:hAnsi="Cambria" w:cs="Cambria"/>
          <w:b/>
          <w:bCs/>
          <w:color w:val="010101"/>
          <w:sz w:val="31"/>
          <w:szCs w:val="31"/>
          <w:bdr w:val="none" w:sz="0" w:space="0" w:color="auto" w:frame="1"/>
        </w:rPr>
        <w:t>бизнис</w:t>
      </w:r>
      <w:proofErr w:type="spellEnd"/>
      <w:r w:rsidRPr="000679AF">
        <w:rPr>
          <w:rFonts w:ascii="Rockwell" w:eastAsia="Times New Roman" w:hAnsi="Rockwell" w:cs="Times New Roman"/>
          <w:b/>
          <w:bCs/>
          <w:color w:val="010101"/>
          <w:sz w:val="31"/>
          <w:szCs w:val="31"/>
          <w:bdr w:val="none" w:sz="0" w:space="0" w:color="auto" w:frame="1"/>
        </w:rPr>
        <w:t xml:space="preserve"> </w:t>
      </w:r>
      <w:r w:rsidRPr="000679AF">
        <w:rPr>
          <w:rFonts w:ascii="Rockwell" w:eastAsia="Times New Roman" w:hAnsi="Rockwell" w:cs="Rockwell"/>
          <w:b/>
          <w:bCs/>
          <w:color w:val="010101"/>
          <w:sz w:val="31"/>
          <w:szCs w:val="31"/>
          <w:bdr w:val="none" w:sz="0" w:space="0" w:color="auto" w:frame="1"/>
        </w:rPr>
        <w:t>–</w:t>
      </w:r>
      <w:r w:rsidRPr="000679AF">
        <w:rPr>
          <w:rFonts w:ascii="Rockwell" w:eastAsia="Times New Roman" w:hAnsi="Rockwell" w:cs="Times New Roman"/>
          <w:b/>
          <w:bCs/>
          <w:color w:val="010101"/>
          <w:sz w:val="31"/>
          <w:szCs w:val="31"/>
          <w:bdr w:val="none" w:sz="0" w:space="0" w:color="auto" w:frame="1"/>
        </w:rPr>
        <w:t xml:space="preserve"> </w:t>
      </w:r>
      <w:proofErr w:type="spellStart"/>
      <w:r w:rsidRPr="000679AF">
        <w:rPr>
          <w:rFonts w:ascii="Cambria" w:eastAsia="Times New Roman" w:hAnsi="Cambria" w:cs="Cambria"/>
          <w:b/>
          <w:bCs/>
          <w:color w:val="010101"/>
          <w:sz w:val="31"/>
          <w:szCs w:val="31"/>
          <w:bdr w:val="none" w:sz="0" w:space="0" w:color="auto" w:frame="1"/>
        </w:rPr>
        <w:t>вложување</w:t>
      </w:r>
      <w:proofErr w:type="spellEnd"/>
      <w:r w:rsidRPr="000679AF">
        <w:rPr>
          <w:rFonts w:ascii="Rockwell" w:eastAsia="Times New Roman" w:hAnsi="Rockwell" w:cs="Times New Roman"/>
          <w:b/>
          <w:bCs/>
          <w:color w:val="010101"/>
          <w:sz w:val="31"/>
          <w:szCs w:val="31"/>
          <w:bdr w:val="none" w:sz="0" w:space="0" w:color="auto" w:frame="1"/>
        </w:rPr>
        <w:t xml:space="preserve"> </w:t>
      </w:r>
      <w:proofErr w:type="spellStart"/>
      <w:r w:rsidRPr="000679AF">
        <w:rPr>
          <w:rFonts w:ascii="Cambria" w:eastAsia="Times New Roman" w:hAnsi="Cambria" w:cs="Cambria"/>
          <w:b/>
          <w:bCs/>
          <w:color w:val="010101"/>
          <w:sz w:val="31"/>
          <w:szCs w:val="31"/>
          <w:bdr w:val="none" w:sz="0" w:space="0" w:color="auto" w:frame="1"/>
        </w:rPr>
        <w:t>на</w:t>
      </w:r>
      <w:proofErr w:type="spellEnd"/>
      <w:r w:rsidRPr="000679AF">
        <w:rPr>
          <w:rFonts w:ascii="Rockwell" w:eastAsia="Times New Roman" w:hAnsi="Rockwell" w:cs="Times New Roman"/>
          <w:b/>
          <w:bCs/>
          <w:color w:val="010101"/>
          <w:sz w:val="31"/>
          <w:szCs w:val="31"/>
          <w:bdr w:val="none" w:sz="0" w:space="0" w:color="auto" w:frame="1"/>
        </w:rPr>
        <w:t xml:space="preserve"> </w:t>
      </w:r>
      <w:proofErr w:type="spellStart"/>
      <w:r w:rsidRPr="000679AF">
        <w:rPr>
          <w:rFonts w:ascii="Cambria" w:eastAsia="Times New Roman" w:hAnsi="Cambria" w:cs="Cambria"/>
          <w:b/>
          <w:bCs/>
          <w:color w:val="010101"/>
          <w:sz w:val="31"/>
          <w:szCs w:val="31"/>
          <w:bdr w:val="none" w:sz="0" w:space="0" w:color="auto" w:frame="1"/>
        </w:rPr>
        <w:t>берза</w:t>
      </w:r>
      <w:proofErr w:type="spellEnd"/>
      <w:r w:rsidRPr="000679AF">
        <w:rPr>
          <w:rFonts w:ascii="Rockwell" w:eastAsia="Times New Roman" w:hAnsi="Rockwell" w:cs="Times New Roman"/>
          <w:b/>
          <w:bCs/>
          <w:color w:val="222222"/>
          <w:sz w:val="24"/>
          <w:szCs w:val="24"/>
        </w:rPr>
        <w:fldChar w:fldCharType="end"/>
      </w:r>
      <w:bookmarkStart w:id="0" w:name="_GoBack"/>
      <w:bookmarkEnd w:id="0"/>
    </w:p>
    <w:p w:rsidR="000679AF" w:rsidRDefault="000679AF" w:rsidP="00067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Lucida Sans Unicode" w:hAnsi="Lucida Sans Unicode" w:cs="Lucida Sans Unicode"/>
          <w:color w:val="222222"/>
          <w:sz w:val="19"/>
          <w:szCs w:val="19"/>
        </w:rPr>
      </w:pP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Современиот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начин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живот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работење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донесе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нова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појмовна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терминологија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секојдневната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комуникација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берзанско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работење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берзански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посредник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боркерски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куќи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форекс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сл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Освен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актуелните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случувања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економско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–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политичките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сфери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носат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многу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промени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своинските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трансформации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приватизацијата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акционерството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мали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средни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претпријатија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сл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Така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текот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процесот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приватизација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своинските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трансформации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стана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почест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начин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инвестирање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а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последица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промените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установиле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новите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економски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категорија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новите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инвестициони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инструменти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 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Поточно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процесот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транзиција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представува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премин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еден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систем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друг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општествена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самоуправни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односи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пазарната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економија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дошло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промени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опшествениот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живот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воопшто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Премин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статусот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самоуправувач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статус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акционер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условило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перманентниот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начин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едукација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информирање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препознаено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како</w:t>
      </w:r>
      <w:proofErr w:type="spellEnd"/>
      <w:r>
        <w:rPr>
          <w:rStyle w:val="apple-converted-space"/>
          <w:rFonts w:ascii="Lucida Sans Unicode" w:hAnsi="Lucida Sans Unicode" w:cs="Lucida Sans Unicode"/>
          <w:color w:val="222222"/>
          <w:sz w:val="19"/>
          <w:szCs w:val="19"/>
        </w:rPr>
        <w:t> 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begin"/>
      </w:r>
      <w:r>
        <w:rPr>
          <w:rFonts w:ascii="Lucida Sans Unicode" w:hAnsi="Lucida Sans Unicode" w:cs="Lucida Sans Unicode"/>
          <w:color w:val="222222"/>
          <w:sz w:val="19"/>
          <w:szCs w:val="19"/>
        </w:rPr>
        <w:instrText xml:space="preserve"> HYPERLINK "http://www.trguvanjesoakcii.com/investicioni-fondovi/" </w:instrText>
      </w:r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separate"/>
      </w:r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>профитабилна</w:t>
      </w:r>
      <w:proofErr w:type="spellEnd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>работа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end"/>
      </w:r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Зачетокот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тој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процес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наоѓа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први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чекори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1989. </w:t>
      </w:r>
      <w:proofErr w:type="spellStart"/>
      <w:proofErr w:type="gramStart"/>
      <w:r>
        <w:rPr>
          <w:rFonts w:ascii="Lucida Sans Unicode" w:hAnsi="Lucida Sans Unicode" w:cs="Lucida Sans Unicode"/>
          <w:color w:val="222222"/>
          <w:sz w:val="19"/>
          <w:szCs w:val="19"/>
        </w:rPr>
        <w:t>година</w:t>
      </w:r>
      <w:proofErr w:type="spellEnd"/>
      <w:proofErr w:type="gram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кога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јавуваат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разни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модели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приватизација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а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1997. </w:t>
      </w:r>
      <w:proofErr w:type="spellStart"/>
      <w:proofErr w:type="gramStart"/>
      <w:r>
        <w:rPr>
          <w:rFonts w:ascii="Lucida Sans Unicode" w:hAnsi="Lucida Sans Unicode" w:cs="Lucida Sans Unicode"/>
          <w:color w:val="222222"/>
          <w:sz w:val="19"/>
          <w:szCs w:val="19"/>
        </w:rPr>
        <w:t>година</w:t>
      </w:r>
      <w:proofErr w:type="spellEnd"/>
      <w:proofErr w:type="gram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кога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донесен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Законот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своинската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трансформација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понатаму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2001. </w:t>
      </w:r>
      <w:proofErr w:type="spellStart"/>
      <w:proofErr w:type="gramStart"/>
      <w:r>
        <w:rPr>
          <w:rFonts w:ascii="Lucida Sans Unicode" w:hAnsi="Lucida Sans Unicode" w:cs="Lucida Sans Unicode"/>
          <w:color w:val="222222"/>
          <w:sz w:val="19"/>
          <w:szCs w:val="19"/>
        </w:rPr>
        <w:t>година</w:t>
      </w:r>
      <w:proofErr w:type="spellEnd"/>
      <w:proofErr w:type="gram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Законот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приватизација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всушност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обновено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акционерството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Македонија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датира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30 –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години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19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век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Првите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идеи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чекори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контролирањето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движењето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вредноста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парите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далечното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минато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спроведувало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Македонското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трговинско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здружение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смета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значајно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развој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целокупната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македонска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трговија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предводник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современата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знаеме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денес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>.</w:t>
      </w:r>
    </w:p>
    <w:p w:rsidR="000679AF" w:rsidRDefault="000679AF" w:rsidP="00067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Lucida Sans Unicode" w:hAnsi="Lucida Sans Unicode" w:cs="Lucida Sans Unicode"/>
          <w:color w:val="222222"/>
          <w:sz w:val="19"/>
          <w:szCs w:val="19"/>
        </w:rPr>
      </w:pP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Меѓутоа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>,</w:t>
      </w:r>
      <w:r>
        <w:rPr>
          <w:rStyle w:val="apple-converted-space"/>
          <w:rFonts w:ascii="Lucida Sans Unicode" w:hAnsi="Lucida Sans Unicode" w:cs="Lucida Sans Unicode"/>
          <w:color w:val="222222"/>
          <w:sz w:val="19"/>
          <w:szCs w:val="19"/>
        </w:rPr>
        <w:t> 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begin"/>
      </w:r>
      <w:r>
        <w:rPr>
          <w:rFonts w:ascii="Lucida Sans Unicode" w:hAnsi="Lucida Sans Unicode" w:cs="Lucida Sans Unicode"/>
          <w:color w:val="222222"/>
          <w:sz w:val="19"/>
          <w:szCs w:val="19"/>
        </w:rPr>
        <w:instrText xml:space="preserve"> HYPERLINK "http://www.fxlider.com/mk/" \t "_blank" </w:instrText>
      </w:r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separate"/>
      </w:r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>вложувањето</w:t>
      </w:r>
      <w:proofErr w:type="spellEnd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>на</w:t>
      </w:r>
      <w:proofErr w:type="spellEnd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Lucida Sans Unicode" w:hAnsi="Lucida Sans Unicode" w:cs="Lucida Sans Unicode"/>
          <w:color w:val="0D3F6F"/>
          <w:sz w:val="19"/>
          <w:szCs w:val="19"/>
          <w:bdr w:val="none" w:sz="0" w:space="0" w:color="auto" w:frame="1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fldChar w:fldCharType="end"/>
      </w:r>
      <w:r>
        <w:rPr>
          <w:rStyle w:val="apple-converted-space"/>
          <w:rFonts w:ascii="Lucida Sans Unicode" w:hAnsi="Lucida Sans Unicode" w:cs="Lucida Sans Unicode"/>
          <w:color w:val="222222"/>
          <w:sz w:val="19"/>
          <w:szCs w:val="19"/>
        </w:rPr>
        <w:t> 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бара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покрај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одлучноста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инвестираме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берзанскиот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пазар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proofErr w:type="gramStart"/>
      <w:r>
        <w:rPr>
          <w:rFonts w:ascii="Lucida Sans Unicode" w:hAnsi="Lucida Sans Unicode" w:cs="Lucida Sans Unicode"/>
          <w:color w:val="222222"/>
          <w:sz w:val="19"/>
          <w:szCs w:val="19"/>
        </w:rPr>
        <w:t>одредено</w:t>
      </w:r>
      <w:proofErr w:type="spellEnd"/>
      <w:proofErr w:type="gram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знаење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можно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оствари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исклучиво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посредство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обврска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имаат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лиценца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извршување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посредничките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односно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дозвола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пазарот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капитал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Дозволите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Комисијата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хартии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вредност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воедно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врши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контрола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берзанското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работење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Секој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потенцијален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инвеститор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без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разлика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физичко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правно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лице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мора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почеток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избере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брокерска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куќа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преку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ќе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врши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Изборот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врши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придржувајќи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одредени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критериуми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зависи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профитабилноста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што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обично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сврстени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пакет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услуги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им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нудат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куќи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потенцијални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клиенти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оглед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дека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специјализирани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субјекти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посредување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нив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очекува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бидат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доверливи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областа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(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).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Меѓу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бројните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има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такви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proofErr w:type="gramStart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 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proofErr w:type="gram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својата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понуда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имаат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инвестициони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инструменти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домашните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странските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компании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(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FXLider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водечка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брокерска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куќа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регионот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огромна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палета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инвестициони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инструменти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најзначанјите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меѓународни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компании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најтргуваните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валутни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парови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најзначанјите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деривати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светските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енергетски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други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ресурси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што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суровата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нафта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благородните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метали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сл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.).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секој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случај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брокерските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куќи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треба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очекувате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биде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доверлива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информативна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одговара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барањата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има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изобилство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кога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прашање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практична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смисла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брокерот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должен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транспарентен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начин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презентира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својот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начин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работење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склад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законската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регулатива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клиентот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донесе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инвестиционата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одлука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односно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го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издаде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својот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налог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трговинска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трансакција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без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разлика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продажба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или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купување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истите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Пред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треба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земе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обзир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дека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секој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акционер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преку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поседување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акции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воедно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и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сопственик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капиталот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некоја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компанија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а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сопственичките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односи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lastRenderedPageBreak/>
        <w:t>спаѓаат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комплексна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категорија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, а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тоа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поголема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потребата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професионален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став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спрема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работата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каква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што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е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вложувањето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на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222222"/>
          <w:sz w:val="19"/>
          <w:szCs w:val="19"/>
        </w:rPr>
        <w:t>берза</w:t>
      </w:r>
      <w:proofErr w:type="spellEnd"/>
      <w:r>
        <w:rPr>
          <w:rFonts w:ascii="Lucida Sans Unicode" w:hAnsi="Lucida Sans Unicode" w:cs="Lucida Sans Unicode"/>
          <w:color w:val="222222"/>
          <w:sz w:val="19"/>
          <w:szCs w:val="19"/>
        </w:rPr>
        <w:t>.</w:t>
      </w:r>
    </w:p>
    <w:p w:rsidR="00A17148" w:rsidRDefault="00A17148"/>
    <w:sectPr w:rsidR="00A17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F"/>
    <w:rsid w:val="000679AF"/>
    <w:rsid w:val="00A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1F33D-31B5-4CAB-B0D8-64662ACF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9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79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anamarija.sekulova</dc:creator>
  <cp:keywords/>
  <dc:description/>
  <cp:lastModifiedBy>anamarija.sekulova</cp:lastModifiedBy>
  <cp:revision>2</cp:revision>
  <dcterms:created xsi:type="dcterms:W3CDTF">2017-01-21T22:43:00Z</dcterms:created>
  <dcterms:modified xsi:type="dcterms:W3CDTF">2017-01-21T22:44:00Z</dcterms:modified>
</cp:coreProperties>
</file>