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0D" w:rsidRDefault="00570C0D" w:rsidP="00570C0D">
      <w:pPr>
        <w:pBdr>
          <w:bottom w:val="single" w:sz="6" w:space="0" w:color="A2A9B1"/>
        </w:pBdr>
        <w:spacing w:after="60" w:line="240" w:lineRule="auto"/>
        <w:outlineLvl w:val="0"/>
        <w:rPr>
          <w:rFonts w:ascii="Georgia" w:eastAsia="Times New Roman" w:hAnsi="Georgia" w:cs="Times New Roman"/>
          <w:color w:val="000000"/>
          <w:kern w:val="36"/>
          <w:sz w:val="43"/>
          <w:szCs w:val="43"/>
          <w:lang w:eastAsia="mk-MK"/>
        </w:rPr>
      </w:pPr>
      <w:r w:rsidRPr="00570C0D">
        <w:rPr>
          <w:rFonts w:ascii="Georgia" w:eastAsia="Times New Roman" w:hAnsi="Georgia" w:cs="Times New Roman"/>
          <w:color w:val="000000"/>
          <w:kern w:val="36"/>
          <w:sz w:val="43"/>
          <w:szCs w:val="43"/>
          <w:lang w:eastAsia="mk-MK"/>
        </w:rPr>
        <w:t>Пазар на капитал</w:t>
      </w:r>
    </w:p>
    <w:p w:rsidR="00570C0D" w:rsidRDefault="00570C0D" w:rsidP="00570C0D">
      <w:pPr>
        <w:pBdr>
          <w:bottom w:val="single" w:sz="6" w:space="0" w:color="A2A9B1"/>
        </w:pBdr>
        <w:spacing w:after="60" w:line="240" w:lineRule="auto"/>
        <w:outlineLvl w:val="0"/>
        <w:rPr>
          <w:rFonts w:ascii="Georgia" w:eastAsia="Times New Roman" w:hAnsi="Georgia" w:cs="Times New Roman"/>
          <w:color w:val="000000"/>
          <w:kern w:val="36"/>
          <w:sz w:val="43"/>
          <w:szCs w:val="43"/>
          <w:lang w:eastAsia="mk-MK"/>
        </w:rPr>
      </w:pPr>
      <w:r w:rsidRPr="00570C0D">
        <w:rPr>
          <w:rFonts w:ascii="Arial" w:eastAsia="Times New Roman" w:hAnsi="Arial" w:cs="Arial"/>
          <w:b/>
          <w:bCs/>
          <w:color w:val="252525"/>
          <w:sz w:val="21"/>
          <w:szCs w:val="21"/>
          <w:lang w:eastAsia="mk-MK"/>
        </w:rPr>
        <w:t>Пазарот на капитал</w:t>
      </w:r>
      <w:r w:rsidRPr="00570C0D">
        <w:rPr>
          <w:rFonts w:ascii="Arial" w:eastAsia="Times New Roman" w:hAnsi="Arial" w:cs="Arial"/>
          <w:color w:val="252525"/>
          <w:sz w:val="21"/>
          <w:szCs w:val="21"/>
          <w:lang w:eastAsia="mk-MK"/>
        </w:rPr>
        <w:t> (</w:t>
      </w:r>
      <w:hyperlink r:id="rId5" w:tooltip="Англиски јазик"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val="en" w:eastAsia="mk-MK"/>
        </w:rPr>
        <w:t>capital market</w:t>
      </w:r>
      <w:r w:rsidRPr="00570C0D">
        <w:rPr>
          <w:rFonts w:ascii="Arial" w:eastAsia="Times New Roman" w:hAnsi="Arial" w:cs="Arial"/>
          <w:color w:val="252525"/>
          <w:sz w:val="21"/>
          <w:szCs w:val="21"/>
          <w:lang w:eastAsia="mk-MK"/>
        </w:rPr>
        <w:t>) претставува збир на односите помеѓу понудата и побарувачката на долгорочни </w:t>
      </w:r>
      <w:hyperlink r:id="rId6" w:tooltip="Хартии од вредност" w:history="1">
        <w:r w:rsidRPr="00570C0D">
          <w:rPr>
            <w:rFonts w:ascii="Arial" w:eastAsia="Times New Roman" w:hAnsi="Arial" w:cs="Arial"/>
            <w:color w:val="0B0080"/>
            <w:sz w:val="21"/>
            <w:szCs w:val="21"/>
            <w:u w:val="single"/>
            <w:lang w:eastAsia="mk-MK"/>
          </w:rPr>
          <w:t>хартии од вредност</w:t>
        </w:r>
      </w:hyperlink>
      <w:r w:rsidRPr="00570C0D">
        <w:rPr>
          <w:rFonts w:ascii="Arial" w:eastAsia="Times New Roman" w:hAnsi="Arial" w:cs="Arial"/>
          <w:color w:val="252525"/>
          <w:sz w:val="21"/>
          <w:szCs w:val="21"/>
          <w:lang w:eastAsia="mk-MK"/>
        </w:rPr>
        <w:t>. Преку пазарот на капитал доаѓа до размена на паричните средства од оние кои ги имаат на оние на кои им се потребни, при што, корисниците на средствата им плаќаат одреден надомест на позајмувачите во вид на камата (што ја добиваат сопствениците на обврзниците), дивиденда (што ја добиваат сопствениците на акциите) или слични исплати, како што е капиталната добивка, која одговара на разликата меѓу продажната и куповната цена на хартиите од вредност.</w:t>
      </w:r>
      <w:hyperlink r:id="rId7" w:anchor="cite_note-1" w:history="1">
        <w:r w:rsidRPr="00570C0D">
          <w:rPr>
            <w:rFonts w:ascii="Arial" w:eastAsia="Times New Roman" w:hAnsi="Arial" w:cs="Arial"/>
            <w:color w:val="0B0080"/>
            <w:sz w:val="21"/>
            <w:szCs w:val="21"/>
            <w:u w:val="single"/>
            <w:vertAlign w:val="superscript"/>
            <w:lang w:eastAsia="mk-MK"/>
          </w:rPr>
          <w:t>[1]</w:t>
        </w:r>
      </w:hyperlink>
    </w:p>
    <w:p w:rsidR="00570C0D" w:rsidRDefault="00570C0D" w:rsidP="00570C0D">
      <w:pPr>
        <w:pBdr>
          <w:bottom w:val="single" w:sz="6" w:space="0" w:color="A2A9B1"/>
        </w:pBdr>
        <w:spacing w:after="60" w:line="240" w:lineRule="auto"/>
        <w:outlineLvl w:val="0"/>
        <w:rPr>
          <w:rFonts w:ascii="Georgia" w:eastAsia="Times New Roman" w:hAnsi="Georgia" w:cs="Times New Roman"/>
          <w:color w:val="000000"/>
          <w:kern w:val="36"/>
          <w:sz w:val="43"/>
          <w:szCs w:val="43"/>
          <w:lang w:eastAsia="mk-MK"/>
        </w:rPr>
      </w:pPr>
      <w:r w:rsidRPr="00570C0D">
        <w:rPr>
          <w:rFonts w:ascii="Arial" w:eastAsia="Times New Roman" w:hAnsi="Arial" w:cs="Arial"/>
          <w:color w:val="252525"/>
          <w:sz w:val="21"/>
          <w:szCs w:val="21"/>
          <w:lang w:eastAsia="mk-MK"/>
        </w:rPr>
        <w:t>На страна на понудата и на страната на побарувачката на долгорочни парични средства се јавуваат следниве субјекти: населението, стопанството, државата и </w:t>
      </w:r>
      <w:hyperlink r:id="rId8" w:tooltip="Банките" w:history="1">
        <w:r w:rsidRPr="00570C0D">
          <w:rPr>
            <w:rFonts w:ascii="Arial" w:eastAsia="Times New Roman" w:hAnsi="Arial" w:cs="Arial"/>
            <w:color w:val="0B0080"/>
            <w:sz w:val="21"/>
            <w:szCs w:val="21"/>
            <w:u w:val="single"/>
            <w:lang w:eastAsia="mk-MK"/>
          </w:rPr>
          <w:t>банките</w:t>
        </w:r>
      </w:hyperlink>
      <w:r w:rsidRPr="00570C0D">
        <w:rPr>
          <w:rFonts w:ascii="Arial" w:eastAsia="Times New Roman" w:hAnsi="Arial" w:cs="Arial"/>
          <w:color w:val="252525"/>
          <w:sz w:val="21"/>
          <w:szCs w:val="21"/>
          <w:lang w:eastAsia="mk-MK"/>
        </w:rPr>
        <w:t>. Сепак, населението се јавува во улога на нето-доверител, што значи дека повеќе пласира сопствени средства отколку што користи, додека </w:t>
      </w:r>
      <w:hyperlink r:id="rId9" w:tooltip="Стопанство" w:history="1">
        <w:r w:rsidRPr="00570C0D">
          <w:rPr>
            <w:rFonts w:ascii="Arial" w:eastAsia="Times New Roman" w:hAnsi="Arial" w:cs="Arial"/>
            <w:color w:val="0B0080"/>
            <w:sz w:val="21"/>
            <w:szCs w:val="21"/>
            <w:u w:val="single"/>
            <w:lang w:eastAsia="mk-MK"/>
          </w:rPr>
          <w:t>стопанството</w:t>
        </w:r>
      </w:hyperlink>
      <w:r w:rsidRPr="00570C0D">
        <w:rPr>
          <w:rFonts w:ascii="Arial" w:eastAsia="Times New Roman" w:hAnsi="Arial" w:cs="Arial"/>
          <w:color w:val="252525"/>
          <w:sz w:val="21"/>
          <w:szCs w:val="21"/>
          <w:lang w:eastAsia="mk-MK"/>
        </w:rPr>
        <w:t> редовно е најголем нето-корисник на средствата, што значи дека повеќе користи средства од пазарот на капитал, разбирливо, за инвестирање, отколку што таму ја пласира сопствената акумулација.</w:t>
      </w:r>
      <w:hyperlink r:id="rId10" w:anchor="cite_note-2" w:history="1">
        <w:r w:rsidRPr="00570C0D">
          <w:rPr>
            <w:rFonts w:ascii="Arial" w:eastAsia="Times New Roman" w:hAnsi="Arial" w:cs="Arial"/>
            <w:color w:val="0B0080"/>
            <w:sz w:val="21"/>
            <w:szCs w:val="21"/>
            <w:u w:val="single"/>
            <w:vertAlign w:val="superscript"/>
            <w:lang w:eastAsia="mk-MK"/>
          </w:rPr>
          <w:t>[2]</w:t>
        </w:r>
      </w:hyperlink>
    </w:p>
    <w:p w:rsidR="00570C0D" w:rsidRDefault="00570C0D" w:rsidP="00570C0D">
      <w:pPr>
        <w:pBdr>
          <w:bottom w:val="single" w:sz="6" w:space="0" w:color="A2A9B1"/>
        </w:pBdr>
        <w:spacing w:after="60" w:line="240" w:lineRule="auto"/>
        <w:outlineLvl w:val="0"/>
        <w:rPr>
          <w:rFonts w:ascii="Georgia" w:eastAsia="Times New Roman" w:hAnsi="Georgia" w:cs="Times New Roman"/>
          <w:color w:val="000000"/>
          <w:kern w:val="36"/>
          <w:sz w:val="43"/>
          <w:szCs w:val="43"/>
          <w:lang w:eastAsia="mk-MK"/>
        </w:rPr>
      </w:pPr>
      <w:r w:rsidRPr="00570C0D">
        <w:rPr>
          <w:rFonts w:ascii="Arial" w:eastAsia="Times New Roman" w:hAnsi="Arial" w:cs="Arial"/>
          <w:color w:val="252525"/>
          <w:sz w:val="21"/>
          <w:szCs w:val="21"/>
          <w:lang w:eastAsia="mk-MK"/>
        </w:rPr>
        <w:t>Како резултат на операциите на пазарот на капитал доаѓа до креирање на соодветни хартии од вредност, </w:t>
      </w:r>
      <w:hyperlink r:id="rId11" w:tooltip="Акции" w:history="1">
        <w:r w:rsidRPr="00570C0D">
          <w:rPr>
            <w:rFonts w:ascii="Arial" w:eastAsia="Times New Roman" w:hAnsi="Arial" w:cs="Arial"/>
            <w:color w:val="0B0080"/>
            <w:sz w:val="21"/>
            <w:szCs w:val="21"/>
            <w:u w:val="single"/>
            <w:lang w:eastAsia="mk-MK"/>
          </w:rPr>
          <w:t>акции</w:t>
        </w:r>
      </w:hyperlink>
      <w:r w:rsidRPr="00570C0D">
        <w:rPr>
          <w:rFonts w:ascii="Arial" w:eastAsia="Times New Roman" w:hAnsi="Arial" w:cs="Arial"/>
          <w:color w:val="252525"/>
          <w:sz w:val="21"/>
          <w:szCs w:val="21"/>
          <w:lang w:eastAsia="mk-MK"/>
        </w:rPr>
        <w:t> и обврзници. Издавањето на хартиите од вредност, како и нивната продажба, претставува примарен пазар. Подоцна со веќе издадените хартии од вредност се тргува на секундарниот пазар, т.е. се врши нивно продавање и купување помеѓу учесниците на пазарот. За да можат да се одвиваат сите овие транскации, пазарот на </w:t>
      </w:r>
      <w:hyperlink r:id="rId12" w:tooltip="Капитал" w:history="1">
        <w:r w:rsidRPr="00570C0D">
          <w:rPr>
            <w:rFonts w:ascii="Arial" w:eastAsia="Times New Roman" w:hAnsi="Arial" w:cs="Arial"/>
            <w:color w:val="0B0080"/>
            <w:sz w:val="21"/>
            <w:szCs w:val="21"/>
            <w:u w:val="single"/>
            <w:lang w:eastAsia="mk-MK"/>
          </w:rPr>
          <w:t>капитал</w:t>
        </w:r>
      </w:hyperlink>
      <w:r w:rsidRPr="00570C0D">
        <w:rPr>
          <w:rFonts w:ascii="Arial" w:eastAsia="Times New Roman" w:hAnsi="Arial" w:cs="Arial"/>
          <w:color w:val="252525"/>
          <w:sz w:val="21"/>
          <w:szCs w:val="21"/>
          <w:lang w:eastAsia="mk-MK"/>
        </w:rPr>
        <w:t> се регулира со соодветна законска регулатива и на него се формираат институции кои ги овозможуваат и олеснуваат операциите на сите останати учесници.</w:t>
      </w:r>
      <w:hyperlink r:id="rId13" w:anchor="cite_note-3" w:history="1">
        <w:r w:rsidRPr="00570C0D">
          <w:rPr>
            <w:rFonts w:ascii="Arial" w:eastAsia="Times New Roman" w:hAnsi="Arial" w:cs="Arial"/>
            <w:color w:val="0B0080"/>
            <w:sz w:val="21"/>
            <w:szCs w:val="21"/>
            <w:u w:val="single"/>
            <w:vertAlign w:val="superscript"/>
            <w:lang w:eastAsia="mk-MK"/>
          </w:rPr>
          <w:t>[3]</w:t>
        </w:r>
      </w:hyperlink>
    </w:p>
    <w:p w:rsidR="00570C0D" w:rsidRDefault="00570C0D" w:rsidP="00570C0D">
      <w:pPr>
        <w:pBdr>
          <w:bottom w:val="single" w:sz="6" w:space="0" w:color="A2A9B1"/>
        </w:pBdr>
        <w:spacing w:before="240" w:after="60" w:line="240" w:lineRule="auto"/>
        <w:outlineLvl w:val="1"/>
        <w:rPr>
          <w:rFonts w:ascii="Arial" w:eastAsia="Times New Roman" w:hAnsi="Arial" w:cs="Arial"/>
          <w:color w:val="0B0080"/>
          <w:sz w:val="24"/>
          <w:szCs w:val="24"/>
          <w:u w:val="single"/>
          <w:lang w:eastAsia="mk-MK"/>
        </w:rPr>
      </w:pPr>
      <w:r w:rsidRPr="00570C0D">
        <w:rPr>
          <w:rFonts w:ascii="Georgia" w:eastAsia="Times New Roman" w:hAnsi="Georgia" w:cs="Arial"/>
          <w:color w:val="000000"/>
          <w:sz w:val="32"/>
          <w:szCs w:val="32"/>
          <w:lang w:eastAsia="mk-MK"/>
        </w:rPr>
        <w:t>Видови пазари на капитал</w:t>
      </w:r>
    </w:p>
    <w:p w:rsidR="00570C0D" w:rsidRDefault="00570C0D" w:rsidP="00570C0D">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570C0D">
        <w:rPr>
          <w:rFonts w:ascii="Arial" w:eastAsia="Times New Roman" w:hAnsi="Arial" w:cs="Arial"/>
          <w:b/>
          <w:bCs/>
          <w:color w:val="000000"/>
          <w:sz w:val="25"/>
          <w:szCs w:val="25"/>
          <w:lang w:eastAsia="mk-MK"/>
        </w:rPr>
        <w:t>Oрганизиран пазар на капитал</w:t>
      </w:r>
    </w:p>
    <w:p w:rsidR="00570C0D" w:rsidRPr="00570C0D" w:rsidRDefault="00570C0D" w:rsidP="00570C0D">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570C0D">
        <w:rPr>
          <w:rFonts w:ascii="Arial" w:eastAsia="Times New Roman" w:hAnsi="Arial" w:cs="Arial"/>
          <w:color w:val="252525"/>
          <w:sz w:val="21"/>
          <w:szCs w:val="21"/>
          <w:lang w:eastAsia="mk-MK"/>
        </w:rPr>
        <w:t>Главни видови на организиран пазар на капитал се:</w:t>
      </w:r>
    </w:p>
    <w:p w:rsidR="00570C0D" w:rsidRPr="00570C0D" w:rsidRDefault="00570C0D" w:rsidP="00570C0D">
      <w:pPr>
        <w:numPr>
          <w:ilvl w:val="0"/>
          <w:numId w:val="2"/>
        </w:numPr>
        <w:spacing w:before="100" w:beforeAutospacing="1" w:after="24" w:line="240" w:lineRule="auto"/>
        <w:ind w:left="384"/>
        <w:rPr>
          <w:rFonts w:ascii="Arial" w:eastAsia="Times New Roman" w:hAnsi="Arial" w:cs="Arial"/>
          <w:color w:val="252525"/>
          <w:sz w:val="21"/>
          <w:szCs w:val="21"/>
          <w:lang w:eastAsia="mk-MK"/>
        </w:rPr>
      </w:pPr>
      <w:r w:rsidRPr="00570C0D">
        <w:rPr>
          <w:rFonts w:ascii="Arial" w:eastAsia="Times New Roman" w:hAnsi="Arial" w:cs="Arial"/>
          <w:i/>
          <w:iCs/>
          <w:color w:val="252525"/>
          <w:sz w:val="21"/>
          <w:szCs w:val="21"/>
          <w:lang w:eastAsia="mk-MK"/>
        </w:rPr>
        <w:t>Берзи</w:t>
      </w:r>
      <w:r w:rsidRPr="00570C0D">
        <w:rPr>
          <w:rFonts w:ascii="Arial" w:eastAsia="Times New Roman" w:hAnsi="Arial" w:cs="Arial"/>
          <w:color w:val="252525"/>
          <w:sz w:val="21"/>
          <w:szCs w:val="21"/>
          <w:lang w:eastAsia="mk-MK"/>
        </w:rPr>
        <w:t> — </w:t>
      </w:r>
      <w:hyperlink r:id="rId14" w:tooltip="Берза" w:history="1">
        <w:r w:rsidRPr="00570C0D">
          <w:rPr>
            <w:rFonts w:ascii="Arial" w:eastAsia="Times New Roman" w:hAnsi="Arial" w:cs="Arial"/>
            <w:color w:val="0B0080"/>
            <w:sz w:val="21"/>
            <w:szCs w:val="21"/>
            <w:u w:val="single"/>
            <w:lang w:eastAsia="mk-MK"/>
          </w:rPr>
          <w:t>Берзата</w:t>
        </w:r>
      </w:hyperlink>
      <w:r w:rsidRPr="00570C0D">
        <w:rPr>
          <w:rFonts w:ascii="Arial" w:eastAsia="Times New Roman" w:hAnsi="Arial" w:cs="Arial"/>
          <w:color w:val="252525"/>
          <w:sz w:val="21"/>
          <w:szCs w:val="21"/>
          <w:lang w:eastAsia="mk-MK"/>
        </w:rPr>
        <w:t> претставува место или институција во рамките на која се одвива организирано тргување со хартии од вредност. Тргувањето на берзата се врши со посредство на овластените учесници на овој пазар – </w:t>
      </w:r>
      <w:hyperlink r:id="rId15" w:tooltip="Брокер" w:history="1">
        <w:r w:rsidRPr="00570C0D">
          <w:rPr>
            <w:rFonts w:ascii="Arial" w:eastAsia="Times New Roman" w:hAnsi="Arial" w:cs="Arial"/>
            <w:color w:val="0B0080"/>
            <w:sz w:val="21"/>
            <w:szCs w:val="21"/>
            <w:u w:val="single"/>
            <w:lang w:eastAsia="mk-MK"/>
          </w:rPr>
          <w:t>брокерите</w:t>
        </w:r>
      </w:hyperlink>
      <w:r w:rsidRPr="00570C0D">
        <w:rPr>
          <w:rFonts w:ascii="Arial" w:eastAsia="Times New Roman" w:hAnsi="Arial" w:cs="Arial"/>
          <w:color w:val="252525"/>
          <w:sz w:val="21"/>
          <w:szCs w:val="21"/>
          <w:lang w:eastAsia="mk-MK"/>
        </w:rPr>
        <w:t>, кои тргуваат за сметка на своите клиенти. На берзата има и други овластени учесници како што се дилерите, кои тргуваат за своја сметка, потоа специјалисти, маркет-мејкери, и други, во зависност од самата берза, нејзиниот тип, начин и организација на работа. Во овој поглед нe постојат единствени правила, туку секоја берза има свои специфичности. Тргувањето на берзата се одвива во рамките на определен период од денот. Токму концентрацијата на тргување на сите учесници на едно место и во исто време, овозможува креирање на објективна претстава за понудата и побарувачката на хартиите од вредност, а со тоа и правилно формирање на нивните цени. Тргувањето на берзите се одвива преку издавање на налози од страна на клиентите до брокерите, кои содржат податоци за видот на хартијата од вредност што клиентот сака да ја купи, односно да ја продаде, како и цената по која клиентот би сакал да ја реализира трансакцијата.</w:t>
      </w:r>
      <w:hyperlink r:id="rId16" w:anchor="cite_note-4" w:history="1">
        <w:r w:rsidRPr="00570C0D">
          <w:rPr>
            <w:rFonts w:ascii="Arial" w:eastAsia="Times New Roman" w:hAnsi="Arial" w:cs="Arial"/>
            <w:color w:val="0B0080"/>
            <w:sz w:val="21"/>
            <w:szCs w:val="21"/>
            <w:u w:val="single"/>
            <w:vertAlign w:val="superscript"/>
            <w:lang w:eastAsia="mk-MK"/>
          </w:rPr>
          <w:t>[4]</w:t>
        </w:r>
      </w:hyperlink>
    </w:p>
    <w:p w:rsidR="00570C0D" w:rsidRPr="00570C0D" w:rsidRDefault="00570C0D" w:rsidP="00570C0D">
      <w:pPr>
        <w:spacing w:before="120" w:after="120" w:line="240" w:lineRule="auto"/>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Во зависност од предметот на купопродажба се одредува и карактерот на берзата. Ако на берзата се купуваат и продаваат вредносни хартии, се работи за ефективна берза, ако се купуваат и продаваат стоки, се работи за продуктна берза, ако се во прашање </w:t>
      </w:r>
      <w:hyperlink r:id="rId17" w:tooltip="Девиза" w:history="1">
        <w:r w:rsidRPr="00570C0D">
          <w:rPr>
            <w:rFonts w:ascii="Arial" w:eastAsia="Times New Roman" w:hAnsi="Arial" w:cs="Arial"/>
            <w:color w:val="0B0080"/>
            <w:sz w:val="21"/>
            <w:szCs w:val="21"/>
            <w:u w:val="single"/>
            <w:lang w:eastAsia="mk-MK"/>
          </w:rPr>
          <w:t>девизи</w:t>
        </w:r>
      </w:hyperlink>
      <w:r w:rsidRPr="00570C0D">
        <w:rPr>
          <w:rFonts w:ascii="Arial" w:eastAsia="Times New Roman" w:hAnsi="Arial" w:cs="Arial"/>
          <w:color w:val="252525"/>
          <w:sz w:val="21"/>
          <w:szCs w:val="21"/>
          <w:lang w:eastAsia="mk-MK"/>
        </w:rPr>
        <w:t>, се работи за девизна берза, итн. За работење на берзата не е доволно да има ( да постојат) вредносни хартии, туку е потребно да има мобилен и ликвиден пазар на кој се среќаваат се поголем број понудувачи и побарувачи на вредносни хартии. Значи, треба да има стабилна понуда и побарувачка на вредносни хартии.</w:t>
      </w:r>
      <w:hyperlink r:id="rId18" w:anchor="cite_note-5" w:history="1">
        <w:r w:rsidRPr="00570C0D">
          <w:rPr>
            <w:rFonts w:ascii="Arial" w:eastAsia="Times New Roman" w:hAnsi="Arial" w:cs="Arial"/>
            <w:color w:val="0B0080"/>
            <w:sz w:val="21"/>
            <w:szCs w:val="21"/>
            <w:u w:val="single"/>
            <w:vertAlign w:val="superscript"/>
            <w:lang w:eastAsia="mk-MK"/>
          </w:rPr>
          <w:t>[5]</w:t>
        </w:r>
      </w:hyperlink>
      <w:r w:rsidRPr="00570C0D">
        <w:rPr>
          <w:rFonts w:ascii="Arial" w:eastAsia="Times New Roman" w:hAnsi="Arial" w:cs="Arial"/>
          <w:color w:val="252525"/>
          <w:sz w:val="21"/>
          <w:szCs w:val="21"/>
          <w:lang w:eastAsia="mk-MK"/>
        </w:rPr>
        <w:t xml:space="preserve"> Заклучувањето на работите се одвива во главните простории на берзата. Тоа се вика т.н. службен пазар. Постои и неслужбен, но регулиран пазар, кој од службениот се разликува по тоа што во него се вклучени берзанските посредници, не се утврдува курсот, туку само цената. Од друга </w:t>
      </w:r>
      <w:r w:rsidRPr="00570C0D">
        <w:rPr>
          <w:rFonts w:ascii="Arial" w:eastAsia="Times New Roman" w:hAnsi="Arial" w:cs="Arial"/>
          <w:color w:val="252525"/>
          <w:sz w:val="21"/>
          <w:szCs w:val="21"/>
          <w:lang w:eastAsia="mk-MK"/>
        </w:rPr>
        <w:lastRenderedPageBreak/>
        <w:t>страна, покрај службениот и регулираниот пазар, постои и нерегулиран, слободен пазар, кој ја опфаќа сета трговија на вредносни хартии која не се одвива во службените простории на берзата, туку во споредни, или крај берзата. За овој пазар не важат берзанските правила и прописи.</w:t>
      </w:r>
      <w:hyperlink r:id="rId19" w:anchor="cite_note-6" w:history="1">
        <w:r w:rsidRPr="00570C0D">
          <w:rPr>
            <w:rFonts w:ascii="Arial" w:eastAsia="Times New Roman" w:hAnsi="Arial" w:cs="Arial"/>
            <w:color w:val="0B0080"/>
            <w:sz w:val="21"/>
            <w:szCs w:val="21"/>
            <w:u w:val="single"/>
            <w:vertAlign w:val="superscript"/>
            <w:lang w:eastAsia="mk-MK"/>
          </w:rPr>
          <w:t>[6]</w:t>
        </w:r>
      </w:hyperlink>
    </w:p>
    <w:p w:rsidR="00570C0D" w:rsidRPr="00570C0D" w:rsidRDefault="00570C0D" w:rsidP="00570C0D">
      <w:pPr>
        <w:numPr>
          <w:ilvl w:val="0"/>
          <w:numId w:val="3"/>
        </w:numPr>
        <w:spacing w:before="100" w:beforeAutospacing="1" w:after="24" w:line="240" w:lineRule="auto"/>
        <w:ind w:left="384"/>
        <w:rPr>
          <w:rFonts w:ascii="Arial" w:eastAsia="Times New Roman" w:hAnsi="Arial" w:cs="Arial"/>
          <w:color w:val="252525"/>
          <w:sz w:val="21"/>
          <w:szCs w:val="21"/>
          <w:lang w:eastAsia="mk-MK"/>
        </w:rPr>
      </w:pPr>
      <w:r w:rsidRPr="00570C0D">
        <w:rPr>
          <w:rFonts w:ascii="Arial" w:eastAsia="Times New Roman" w:hAnsi="Arial" w:cs="Arial"/>
          <w:i/>
          <w:iCs/>
          <w:color w:val="252525"/>
          <w:sz w:val="21"/>
          <w:szCs w:val="21"/>
          <w:lang w:eastAsia="mk-MK"/>
        </w:rPr>
        <w:t>Пазари преку шалтери</w:t>
      </w:r>
      <w:r w:rsidRPr="00570C0D">
        <w:rPr>
          <w:rFonts w:ascii="Arial" w:eastAsia="Times New Roman" w:hAnsi="Arial" w:cs="Arial"/>
          <w:color w:val="252525"/>
          <w:sz w:val="21"/>
          <w:szCs w:val="21"/>
          <w:lang w:eastAsia="mk-MK"/>
        </w:rPr>
        <w:t> — Пазарот преку шалтер (</w:t>
      </w:r>
      <w:hyperlink r:id="rId20"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over-the-counter market</w:t>
      </w:r>
      <w:r w:rsidRPr="00570C0D">
        <w:rPr>
          <w:rFonts w:ascii="Arial" w:eastAsia="Times New Roman" w:hAnsi="Arial" w:cs="Arial"/>
          <w:color w:val="252525"/>
          <w:sz w:val="21"/>
          <w:szCs w:val="21"/>
          <w:lang w:eastAsia="mk-MK"/>
        </w:rPr>
        <w:t>)</w:t>
      </w:r>
      <w:hyperlink r:id="rId21" w:anchor="cite_note-7" w:history="1">
        <w:r w:rsidRPr="00570C0D">
          <w:rPr>
            <w:rFonts w:ascii="Arial" w:eastAsia="Times New Roman" w:hAnsi="Arial" w:cs="Arial"/>
            <w:color w:val="0B0080"/>
            <w:sz w:val="21"/>
            <w:szCs w:val="21"/>
            <w:u w:val="single"/>
            <w:vertAlign w:val="superscript"/>
            <w:lang w:eastAsia="mk-MK"/>
          </w:rPr>
          <w:t>[7]</w:t>
        </w:r>
      </w:hyperlink>
      <w:r w:rsidRPr="00570C0D">
        <w:rPr>
          <w:rFonts w:ascii="Arial" w:eastAsia="Times New Roman" w:hAnsi="Arial" w:cs="Arial"/>
          <w:color w:val="252525"/>
          <w:sz w:val="21"/>
          <w:szCs w:val="21"/>
          <w:lang w:eastAsia="mk-MK"/>
        </w:rPr>
        <w:t> претставува алтернативен облик на пазар на хартии од вредност. Името го добил од неговиот дамнешен облик, кога клиентите доаѓале директно на шалтерите на банките и таму купувале или продавале хартии од вредност. Ваквиот облик одамна е исчезнат, но името останало и тоа денес се однесува за тргувањето во самите </w:t>
      </w:r>
      <w:hyperlink r:id="rId22" w:tooltip="Брокерска куќа" w:history="1">
        <w:r w:rsidRPr="00570C0D">
          <w:rPr>
            <w:rFonts w:ascii="Arial" w:eastAsia="Times New Roman" w:hAnsi="Arial" w:cs="Arial"/>
            <w:color w:val="0B0080"/>
            <w:sz w:val="21"/>
            <w:szCs w:val="21"/>
            <w:u w:val="single"/>
            <w:lang w:eastAsia="mk-MK"/>
          </w:rPr>
          <w:t>брокерски куќи</w:t>
        </w:r>
      </w:hyperlink>
      <w:r w:rsidRPr="00570C0D">
        <w:rPr>
          <w:rFonts w:ascii="Arial" w:eastAsia="Times New Roman" w:hAnsi="Arial" w:cs="Arial"/>
          <w:color w:val="252525"/>
          <w:sz w:val="21"/>
          <w:szCs w:val="21"/>
          <w:lang w:eastAsia="mk-MK"/>
        </w:rPr>
        <w:t>, во кои денес се одвива огромен дел од прометот со хартии од вредност, посебно во западните земји. Имено, еден дел од куповните и продажните налози што ги добиваат брокерските куќи, можат според своите карактеристики (вид, количина, цена) да се реализираат во самата куќа, без да се излегува на берзата со нив. Така се избегнува плаќањето провизија на берзата и се поедноставува работата на брокерите.</w:t>
      </w:r>
      <w:hyperlink r:id="rId23" w:anchor="cite_note-8" w:history="1">
        <w:r w:rsidRPr="00570C0D">
          <w:rPr>
            <w:rFonts w:ascii="Arial" w:eastAsia="Times New Roman" w:hAnsi="Arial" w:cs="Arial"/>
            <w:color w:val="0B0080"/>
            <w:sz w:val="21"/>
            <w:szCs w:val="21"/>
            <w:u w:val="single"/>
            <w:vertAlign w:val="superscript"/>
            <w:lang w:eastAsia="mk-MK"/>
          </w:rPr>
          <w:t>[8]</w:t>
        </w:r>
      </w:hyperlink>
      <w:r w:rsidRPr="00570C0D">
        <w:rPr>
          <w:rFonts w:ascii="Arial" w:eastAsia="Times New Roman" w:hAnsi="Arial" w:cs="Arial"/>
          <w:color w:val="252525"/>
          <w:sz w:val="21"/>
          <w:szCs w:val="21"/>
          <w:lang w:eastAsia="mk-MK"/>
        </w:rPr>
        <w:t> Друг вид на вонберзанско тргување денес е </w:t>
      </w:r>
      <w:hyperlink r:id="rId24" w:tooltip="НАСДАК (страницата не постои)" w:history="1">
        <w:r w:rsidRPr="00570C0D">
          <w:rPr>
            <w:rFonts w:ascii="Arial" w:eastAsia="Times New Roman" w:hAnsi="Arial" w:cs="Arial"/>
            <w:color w:val="A55858"/>
            <w:sz w:val="21"/>
            <w:szCs w:val="21"/>
            <w:u w:val="single"/>
            <w:lang w:eastAsia="mk-MK"/>
          </w:rPr>
          <w:t>НАСДАК</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National Association of Securities Dealers Automated Quotations System</w:t>
      </w:r>
      <w:r w:rsidRPr="00570C0D">
        <w:rPr>
          <w:rFonts w:ascii="Arial" w:eastAsia="Times New Roman" w:hAnsi="Arial" w:cs="Arial"/>
          <w:color w:val="252525"/>
          <w:sz w:val="21"/>
          <w:szCs w:val="21"/>
          <w:lang w:eastAsia="mk-MK"/>
        </w:rPr>
        <w:t>). Истиот, е пазар кој постои помеѓу овластените дилери во </w:t>
      </w:r>
      <w:hyperlink r:id="rId25" w:tooltip="САД" w:history="1">
        <w:r w:rsidRPr="00570C0D">
          <w:rPr>
            <w:rFonts w:ascii="Arial" w:eastAsia="Times New Roman" w:hAnsi="Arial" w:cs="Arial"/>
            <w:color w:val="0B0080"/>
            <w:sz w:val="21"/>
            <w:szCs w:val="21"/>
            <w:u w:val="single"/>
            <w:lang w:eastAsia="mk-MK"/>
          </w:rPr>
          <w:t>САД</w:t>
        </w:r>
      </w:hyperlink>
      <w:r w:rsidRPr="00570C0D">
        <w:rPr>
          <w:rFonts w:ascii="Arial" w:eastAsia="Times New Roman" w:hAnsi="Arial" w:cs="Arial"/>
          <w:color w:val="252525"/>
          <w:sz w:val="21"/>
          <w:szCs w:val="21"/>
          <w:lang w:eastAsia="mk-MK"/>
        </w:rPr>
        <w:t> и кој претставува мрежа на меѓусебно електронско тргување. Тргувањето со хартии од вредност преку овој пазар се одвива така што инвеститорите контактираат директно со дилерите, кои, пак, тргуваат помеѓу себе без да ги напуштаат своите канцеларии, преку следење на понудата и побарувачката на хартиите од вредност на своите </w:t>
      </w:r>
      <w:hyperlink r:id="rId26" w:tooltip="Компјутер" w:history="1">
        <w:r w:rsidRPr="00570C0D">
          <w:rPr>
            <w:rFonts w:ascii="Arial" w:eastAsia="Times New Roman" w:hAnsi="Arial" w:cs="Arial"/>
            <w:color w:val="0B0080"/>
            <w:sz w:val="21"/>
            <w:szCs w:val="21"/>
            <w:u w:val="single"/>
            <w:lang w:eastAsia="mk-MK"/>
          </w:rPr>
          <w:t>компјутерски</w:t>
        </w:r>
      </w:hyperlink>
      <w:r w:rsidRPr="00570C0D">
        <w:rPr>
          <w:rFonts w:ascii="Arial" w:eastAsia="Times New Roman" w:hAnsi="Arial" w:cs="Arial"/>
          <w:color w:val="252525"/>
          <w:sz w:val="21"/>
          <w:szCs w:val="21"/>
          <w:lang w:eastAsia="mk-MK"/>
        </w:rPr>
        <w:t> екрани. Денес, преку NASDAQ, се одвива огромен дел од прометот со хартии од вредност во САД, често надминувајќи го и оној на Њујоршката берза.</w:t>
      </w:r>
      <w:hyperlink r:id="rId27" w:anchor="cite_note-9" w:history="1">
        <w:r w:rsidRPr="00570C0D">
          <w:rPr>
            <w:rFonts w:ascii="Arial" w:eastAsia="Times New Roman" w:hAnsi="Arial" w:cs="Arial"/>
            <w:color w:val="0B0080"/>
            <w:sz w:val="21"/>
            <w:szCs w:val="21"/>
            <w:u w:val="single"/>
            <w:vertAlign w:val="superscript"/>
            <w:lang w:eastAsia="mk-MK"/>
          </w:rPr>
          <w:t>[9]</w:t>
        </w:r>
      </w:hyperlink>
    </w:p>
    <w:p w:rsidR="00570C0D" w:rsidRPr="00570C0D" w:rsidRDefault="00570C0D" w:rsidP="00570C0D">
      <w:pPr>
        <w:spacing w:before="72" w:after="0" w:line="240" w:lineRule="auto"/>
        <w:outlineLvl w:val="2"/>
        <w:rPr>
          <w:rFonts w:ascii="Arial" w:eastAsia="Times New Roman" w:hAnsi="Arial" w:cs="Arial"/>
          <w:b/>
          <w:bCs/>
          <w:color w:val="000000"/>
          <w:sz w:val="25"/>
          <w:szCs w:val="25"/>
          <w:lang w:eastAsia="mk-MK"/>
        </w:rPr>
      </w:pPr>
      <w:r w:rsidRPr="00570C0D">
        <w:rPr>
          <w:rFonts w:ascii="Arial" w:eastAsia="Times New Roman" w:hAnsi="Arial" w:cs="Arial"/>
          <w:b/>
          <w:bCs/>
          <w:color w:val="000000"/>
          <w:sz w:val="25"/>
          <w:szCs w:val="25"/>
          <w:lang w:eastAsia="mk-MK"/>
        </w:rPr>
        <w:t>Неорганизиран пазар на капитал</w:t>
      </w:r>
    </w:p>
    <w:p w:rsidR="00570C0D" w:rsidRPr="00570C0D" w:rsidRDefault="00570C0D" w:rsidP="00570C0D">
      <w:pPr>
        <w:spacing w:before="120" w:after="120" w:line="240" w:lineRule="auto"/>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Неорганизираниот пазар на капитал, обично, се одвива крај берзите, и за него не важат берзанските правила и прописи. На него, по правило , учествуваат помали </w:t>
      </w:r>
      <w:hyperlink r:id="rId28" w:tooltip="Претпријатија" w:history="1">
        <w:r w:rsidRPr="00570C0D">
          <w:rPr>
            <w:rFonts w:ascii="Arial" w:eastAsia="Times New Roman" w:hAnsi="Arial" w:cs="Arial"/>
            <w:color w:val="0B0080"/>
            <w:sz w:val="21"/>
            <w:szCs w:val="21"/>
            <w:u w:val="single"/>
            <w:lang w:eastAsia="mk-MK"/>
          </w:rPr>
          <w:t>претпријатија</w:t>
        </w:r>
      </w:hyperlink>
      <w:r w:rsidRPr="00570C0D">
        <w:rPr>
          <w:rFonts w:ascii="Arial" w:eastAsia="Times New Roman" w:hAnsi="Arial" w:cs="Arial"/>
          <w:color w:val="252525"/>
          <w:sz w:val="21"/>
          <w:szCs w:val="21"/>
          <w:lang w:eastAsia="mk-MK"/>
        </w:rPr>
        <w:t> кои не ги исполнуваат условите да можат да тргуваат на берзите, или на други организирани пазари.</w:t>
      </w:r>
      <w:hyperlink r:id="rId29" w:anchor="cite_note-10" w:history="1">
        <w:r w:rsidRPr="00570C0D">
          <w:rPr>
            <w:rFonts w:ascii="Arial" w:eastAsia="Times New Roman" w:hAnsi="Arial" w:cs="Arial"/>
            <w:color w:val="0B0080"/>
            <w:sz w:val="21"/>
            <w:szCs w:val="21"/>
            <w:u w:val="single"/>
            <w:vertAlign w:val="superscript"/>
            <w:lang w:eastAsia="mk-MK"/>
          </w:rPr>
          <w:t>[10]</w:t>
        </w:r>
      </w:hyperlink>
    </w:p>
    <w:p w:rsidR="00570C0D" w:rsidRDefault="00570C0D" w:rsidP="00570C0D">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570C0D">
        <w:rPr>
          <w:rFonts w:ascii="Georgia" w:eastAsia="Times New Roman" w:hAnsi="Georgia" w:cs="Arial"/>
          <w:color w:val="000000"/>
          <w:sz w:val="32"/>
          <w:szCs w:val="32"/>
          <w:lang w:eastAsia="mk-MK"/>
        </w:rPr>
        <w:t>Посредници на пазарот на капитал</w:t>
      </w:r>
    </w:p>
    <w:p w:rsidR="00570C0D" w:rsidRPr="00570C0D" w:rsidRDefault="00570C0D" w:rsidP="00570C0D">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570C0D">
        <w:rPr>
          <w:rFonts w:ascii="Arial" w:eastAsia="Times New Roman" w:hAnsi="Arial" w:cs="Arial"/>
          <w:color w:val="252525"/>
          <w:sz w:val="21"/>
          <w:szCs w:val="21"/>
          <w:lang w:eastAsia="mk-MK"/>
        </w:rPr>
        <w:t>Најважни посредници на пазарот на капитал се:</w:t>
      </w:r>
    </w:p>
    <w:p w:rsidR="00570C0D" w:rsidRPr="00570C0D" w:rsidRDefault="00570C0D" w:rsidP="00570C0D">
      <w:pPr>
        <w:numPr>
          <w:ilvl w:val="0"/>
          <w:numId w:val="4"/>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Специјалисти кои вршат купопродажба на вредносни хартии (дилери)</w:t>
      </w:r>
    </w:p>
    <w:p w:rsidR="00570C0D" w:rsidRPr="00570C0D" w:rsidRDefault="00570C0D" w:rsidP="00570C0D">
      <w:pPr>
        <w:spacing w:before="120" w:after="120" w:line="240" w:lineRule="auto"/>
        <w:ind w:left="38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Дилерот служи како посредник помеѓу купувачите и продавачите, кој всушност ги купува </w:t>
      </w:r>
      <w:hyperlink r:id="rId30" w:tooltip="Финансиски инструменти" w:history="1">
        <w:r w:rsidRPr="00570C0D">
          <w:rPr>
            <w:rFonts w:ascii="Arial" w:eastAsia="Times New Roman" w:hAnsi="Arial" w:cs="Arial"/>
            <w:color w:val="0B0080"/>
            <w:sz w:val="21"/>
            <w:szCs w:val="21"/>
            <w:u w:val="single"/>
            <w:lang w:eastAsia="mk-MK"/>
          </w:rPr>
          <w:t>финансиските инструменти</w:t>
        </w:r>
      </w:hyperlink>
      <w:r w:rsidRPr="00570C0D">
        <w:rPr>
          <w:rFonts w:ascii="Arial" w:eastAsia="Times New Roman" w:hAnsi="Arial" w:cs="Arial"/>
          <w:color w:val="252525"/>
          <w:sz w:val="21"/>
          <w:szCs w:val="21"/>
          <w:lang w:eastAsia="mk-MK"/>
        </w:rPr>
        <w:t> на продавачот, во надеж дека ќе може да ги продаде во иднина по поволна цена. Дилерите заземаат, кажана со финансискиот жаргон, “ позиција на ризик ”, бидејќи купувајќи ги финансиските интрументи, тие се подложни на </w:t>
      </w:r>
      <w:hyperlink r:id="rId31" w:tooltip="Ризик" w:history="1">
        <w:r w:rsidRPr="00570C0D">
          <w:rPr>
            <w:rFonts w:ascii="Arial" w:eastAsia="Times New Roman" w:hAnsi="Arial" w:cs="Arial"/>
            <w:color w:val="0B0080"/>
            <w:sz w:val="21"/>
            <w:szCs w:val="21"/>
            <w:u w:val="single"/>
            <w:lang w:eastAsia="mk-MK"/>
          </w:rPr>
          <w:t>ризикот</w:t>
        </w:r>
      </w:hyperlink>
      <w:r w:rsidRPr="00570C0D">
        <w:rPr>
          <w:rFonts w:ascii="Arial" w:eastAsia="Times New Roman" w:hAnsi="Arial" w:cs="Arial"/>
          <w:color w:val="252525"/>
          <w:sz w:val="21"/>
          <w:szCs w:val="21"/>
          <w:lang w:eastAsia="mk-MK"/>
        </w:rPr>
        <w:t> од загуба, ако вредноста на тие инструменти опадне.</w:t>
      </w:r>
      <w:hyperlink r:id="rId32" w:anchor="cite_note-11" w:history="1">
        <w:r w:rsidRPr="00570C0D">
          <w:rPr>
            <w:rFonts w:ascii="Arial" w:eastAsia="Times New Roman" w:hAnsi="Arial" w:cs="Arial"/>
            <w:color w:val="0B0080"/>
            <w:sz w:val="21"/>
            <w:szCs w:val="21"/>
            <w:u w:val="single"/>
            <w:vertAlign w:val="superscript"/>
            <w:lang w:eastAsia="mk-MK"/>
          </w:rPr>
          <w:t>[11]</w:t>
        </w:r>
      </w:hyperlink>
    </w:p>
    <w:p w:rsidR="00570C0D" w:rsidRPr="00570C0D" w:rsidRDefault="00570C0D" w:rsidP="00570C0D">
      <w:pPr>
        <w:numPr>
          <w:ilvl w:val="0"/>
          <w:numId w:val="5"/>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Специјалисти на берзите (брокери)</w:t>
      </w:r>
    </w:p>
    <w:p w:rsidR="00570C0D" w:rsidRPr="00570C0D" w:rsidRDefault="00570C0D" w:rsidP="00570C0D">
      <w:pPr>
        <w:spacing w:before="120" w:after="120" w:line="240" w:lineRule="auto"/>
        <w:ind w:left="768"/>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Брокерот претставува поединец или финансиска институција која дава информации, што се однесуваат за возможното купување или продавање на финансиските инструменти. Било купувачот или продавачот на финансиски инструменти може да го контактира брокерот, чија работа е едноставно да ги спои купувачите и продавачите.</w:t>
      </w:r>
      <w:hyperlink r:id="rId33" w:anchor="cite_note-12" w:history="1">
        <w:r w:rsidRPr="00570C0D">
          <w:rPr>
            <w:rFonts w:ascii="Arial" w:eastAsia="Times New Roman" w:hAnsi="Arial" w:cs="Arial"/>
            <w:color w:val="0B0080"/>
            <w:sz w:val="21"/>
            <w:szCs w:val="21"/>
            <w:u w:val="single"/>
            <w:vertAlign w:val="superscript"/>
            <w:lang w:eastAsia="mk-MK"/>
          </w:rPr>
          <w:t>[12]</w:t>
        </w:r>
      </w:hyperlink>
    </w:p>
    <w:p w:rsidR="00570C0D" w:rsidRPr="00570C0D" w:rsidRDefault="00570C0D" w:rsidP="00570C0D">
      <w:pPr>
        <w:numPr>
          <w:ilvl w:val="0"/>
          <w:numId w:val="6"/>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Инвестициски банки</w:t>
      </w:r>
    </w:p>
    <w:p w:rsidR="00570C0D" w:rsidRPr="00570C0D" w:rsidRDefault="00570C0D" w:rsidP="00570C0D">
      <w:pPr>
        <w:spacing w:before="120" w:after="120" w:line="240" w:lineRule="auto"/>
        <w:ind w:left="1152"/>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Инвестициските банки (</w:t>
      </w:r>
      <w:hyperlink r:id="rId34"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Investment Banks</w:t>
      </w:r>
      <w:r w:rsidRPr="00570C0D">
        <w:rPr>
          <w:rFonts w:ascii="Arial" w:eastAsia="Times New Roman" w:hAnsi="Arial" w:cs="Arial"/>
          <w:color w:val="252525"/>
          <w:sz w:val="21"/>
          <w:szCs w:val="21"/>
          <w:lang w:eastAsia="mk-MK"/>
        </w:rPr>
        <w:t xml:space="preserve">) се компании што учествуваат на пазарот на капитал и по својата суштина воопшто не претставуваат банки во класична смисла на зборот. Тие се занимаваат со брокерски работи, давање инвестициски совети, управување со портфолијата на клиентите, финансиски анализи, вршат советодавна улога при емисија на </w:t>
      </w:r>
      <w:r w:rsidRPr="00570C0D">
        <w:rPr>
          <w:rFonts w:ascii="Arial" w:eastAsia="Times New Roman" w:hAnsi="Arial" w:cs="Arial"/>
          <w:color w:val="252525"/>
          <w:sz w:val="21"/>
          <w:szCs w:val="21"/>
          <w:lang w:eastAsia="mk-MK"/>
        </w:rPr>
        <w:lastRenderedPageBreak/>
        <w:t>хартии од вредност, се јавуваат како преземачи на емисијата на хартии од вредност и сл.</w:t>
      </w:r>
      <w:hyperlink r:id="rId35" w:anchor="cite_note-13" w:history="1">
        <w:r w:rsidRPr="00570C0D">
          <w:rPr>
            <w:rFonts w:ascii="Arial" w:eastAsia="Times New Roman" w:hAnsi="Arial" w:cs="Arial"/>
            <w:color w:val="0B0080"/>
            <w:sz w:val="21"/>
            <w:szCs w:val="21"/>
            <w:u w:val="single"/>
            <w:vertAlign w:val="superscript"/>
            <w:lang w:eastAsia="mk-MK"/>
          </w:rPr>
          <w:t>[13]</w:t>
        </w:r>
      </w:hyperlink>
    </w:p>
    <w:p w:rsidR="00570C0D" w:rsidRPr="00570C0D" w:rsidRDefault="00570C0D" w:rsidP="00570C0D">
      <w:pPr>
        <w:numPr>
          <w:ilvl w:val="0"/>
          <w:numId w:val="7"/>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Комерцијални банки</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Комерцијалните банки играат многу важна улога во економскиот живот на секоја земја. Тие се јавуваат како главни актери на пазарот на пари и капитал и во обезбедувањето на понудата и во обезбедувањето на побарувачката на паричните средства.</w:t>
      </w:r>
      <w:hyperlink r:id="rId36" w:anchor="cite_note-14" w:history="1">
        <w:r w:rsidRPr="00570C0D">
          <w:rPr>
            <w:rFonts w:ascii="Arial" w:eastAsia="Times New Roman" w:hAnsi="Arial" w:cs="Arial"/>
            <w:color w:val="0B0080"/>
            <w:sz w:val="21"/>
            <w:szCs w:val="21"/>
            <w:u w:val="single"/>
            <w:vertAlign w:val="superscript"/>
            <w:lang w:eastAsia="mk-MK"/>
          </w:rPr>
          <w:t>[14]</w:t>
        </w:r>
      </w:hyperlink>
    </w:p>
    <w:p w:rsidR="00570C0D" w:rsidRPr="00570C0D" w:rsidRDefault="00570C0D" w:rsidP="00570C0D">
      <w:pPr>
        <w:pBdr>
          <w:bottom w:val="single" w:sz="6" w:space="0" w:color="A2A9B1"/>
        </w:pBdr>
        <w:spacing w:before="240" w:after="60" w:line="240" w:lineRule="auto"/>
        <w:ind w:left="1536"/>
        <w:outlineLvl w:val="1"/>
        <w:rPr>
          <w:rFonts w:ascii="Georgia" w:eastAsia="Times New Roman" w:hAnsi="Georgia" w:cs="Arial"/>
          <w:color w:val="000000"/>
          <w:sz w:val="32"/>
          <w:szCs w:val="32"/>
          <w:lang w:eastAsia="mk-MK"/>
        </w:rPr>
      </w:pPr>
      <w:r w:rsidRPr="00570C0D">
        <w:rPr>
          <w:rFonts w:ascii="Georgia" w:eastAsia="Times New Roman" w:hAnsi="Georgia" w:cs="Arial"/>
          <w:color w:val="000000"/>
          <w:sz w:val="32"/>
          <w:szCs w:val="32"/>
          <w:lang w:eastAsia="mk-MK"/>
        </w:rPr>
        <w:t>Улогата на банките на пазарот на капитал</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Во работењето со хартии од вредност, банките можат да извршуваат различни активности: да бидат активни на примарниот и секундарниот пазар, да делуваат како дилери и брокери, како и да нудат разни дополнителни услуги поврзани со работењето со хартии од вредност. Притоа, сите овие активности банките ги извршуваат преку посебни организациски делови или преку посебни друштва коишто се во споственост на банките.</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На примарниот пазар, банките самостојно или преку своите подружници (</w:t>
      </w:r>
      <w:hyperlink r:id="rId37"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subsidiaries</w:t>
      </w:r>
      <w:r w:rsidRPr="00570C0D">
        <w:rPr>
          <w:rFonts w:ascii="Arial" w:eastAsia="Times New Roman" w:hAnsi="Arial" w:cs="Arial"/>
          <w:color w:val="252525"/>
          <w:sz w:val="21"/>
          <w:szCs w:val="21"/>
          <w:lang w:eastAsia="mk-MK"/>
        </w:rPr>
        <w:t>), се главните играчи при издавањето на државни хартии од вредност (државни записи и обврзници). Тука, тие се јавуваат во улога на основни дилери (</w:t>
      </w:r>
      <w:hyperlink r:id="rId38"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primary dealers</w:t>
      </w:r>
      <w:r w:rsidRPr="00570C0D">
        <w:rPr>
          <w:rFonts w:ascii="Arial" w:eastAsia="Times New Roman" w:hAnsi="Arial" w:cs="Arial"/>
          <w:color w:val="252525"/>
          <w:sz w:val="21"/>
          <w:szCs w:val="21"/>
          <w:lang w:eastAsia="mk-MK"/>
        </w:rPr>
        <w:t>) коишто учествуваат на аукциите на државни хартии од вредност, а потоа, нив им ги продаваат на други инвеститори. Во продолжение, банките можат да се занимаваат и со инвестициско банкарство (</w:t>
      </w:r>
      <w:hyperlink r:id="rId39"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investment banking</w:t>
      </w:r>
      <w:r w:rsidRPr="00570C0D">
        <w:rPr>
          <w:rFonts w:ascii="Arial" w:eastAsia="Times New Roman" w:hAnsi="Arial" w:cs="Arial"/>
          <w:color w:val="252525"/>
          <w:sz w:val="21"/>
          <w:szCs w:val="21"/>
          <w:lang w:eastAsia="mk-MK"/>
        </w:rPr>
        <w:t>), односно со потпишување (</w:t>
      </w:r>
      <w:hyperlink r:id="rId40"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underwriting</w:t>
      </w:r>
      <w:r w:rsidRPr="00570C0D">
        <w:rPr>
          <w:rFonts w:ascii="Arial" w:eastAsia="Times New Roman" w:hAnsi="Arial" w:cs="Arial"/>
          <w:color w:val="252525"/>
          <w:sz w:val="21"/>
          <w:szCs w:val="21"/>
          <w:lang w:eastAsia="mk-MK"/>
        </w:rPr>
        <w:t>) нови изданија на хартии од вредност. Извршувајќи ја оваа функција, банките им помагаат на приватните издавачи успешно и брзо да ги продадат хартиите од вредност на пазарот.</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Исто така, банките се активни и на секундарниот пазар на хартии од вредност, каде што делуваат како брокери или дилери. Кога извршуваат брокерски активности, банките посредуваат помеѓу продавачите и купувачите на хартии од вредност и за извршената услуга наплаќаат одреден надомест-брокерска провизија. Работејќи како дилери, банките работат за своја сметка (</w:t>
      </w:r>
      <w:hyperlink r:id="rId41"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proprietary trading</w:t>
      </w:r>
      <w:r w:rsidRPr="00570C0D">
        <w:rPr>
          <w:rFonts w:ascii="Arial" w:eastAsia="Times New Roman" w:hAnsi="Arial" w:cs="Arial"/>
          <w:color w:val="252525"/>
          <w:sz w:val="21"/>
          <w:szCs w:val="21"/>
          <w:lang w:eastAsia="mk-MK"/>
        </w:rPr>
        <w:t>) т.е. купуваат и продаваат хартии од вредност, заработувајќи на разликата помеѓу куповните и продажните цени. Притоа, во одредени случаи, банките ја извршуваат улогата на подржувачи на пазарот (</w:t>
      </w:r>
      <w:hyperlink r:id="rId42"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market makers</w:t>
      </w:r>
      <w:r w:rsidRPr="00570C0D">
        <w:rPr>
          <w:rFonts w:ascii="Arial" w:eastAsia="Times New Roman" w:hAnsi="Arial" w:cs="Arial"/>
          <w:color w:val="252525"/>
          <w:sz w:val="21"/>
          <w:szCs w:val="21"/>
          <w:lang w:eastAsia="mk-MK"/>
        </w:rPr>
        <w:t>). На пример, кога централните банки ги спроведуваат операциите на отворен пазар, тие работат само со одреден број банки коишто ја извршуваат улогата на подржувачи на пазарот. Работејќи како поддржувачи на пазарот, банките се должни во секое време да држат одредена залиха на хартии од вредност, коишто ги нудат за продажба на заинтересираните купувачи, по објавената продажна цена (</w:t>
      </w:r>
      <w:hyperlink r:id="rId43"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ask price, offer price</w:t>
      </w:r>
      <w:r w:rsidRPr="00570C0D">
        <w:rPr>
          <w:rFonts w:ascii="Arial" w:eastAsia="Times New Roman" w:hAnsi="Arial" w:cs="Arial"/>
          <w:color w:val="252525"/>
          <w:sz w:val="21"/>
          <w:szCs w:val="21"/>
          <w:lang w:eastAsia="mk-MK"/>
        </w:rPr>
        <w:t>). Во исто време, тие се обврзани да ги купат хартиите од вредност што ќе им ги понудат заинтересираните продавачи, се разбира, според објавената куповна цена. Банките остваруваат заработка од овие активности така, што хартиите од вредност ги продаваат по повисока цена од онаа по која ги купуваат. Притоа, разликата помеѓу продажната и куповната цена на хартиите од вредност се вика распон (</w:t>
      </w:r>
      <w:hyperlink r:id="rId44" w:tooltip="Англиски" w:history="1">
        <w:r w:rsidRPr="00570C0D">
          <w:rPr>
            <w:rFonts w:ascii="Arial" w:eastAsia="Times New Roman" w:hAnsi="Arial" w:cs="Arial"/>
            <w:color w:val="0B0080"/>
            <w:sz w:val="21"/>
            <w:szCs w:val="21"/>
            <w:u w:val="single"/>
            <w:lang w:eastAsia="mk-MK"/>
          </w:rPr>
          <w:t>англиски</w:t>
        </w:r>
      </w:hyperlink>
      <w:r w:rsidRPr="00570C0D">
        <w:rPr>
          <w:rFonts w:ascii="Arial" w:eastAsia="Times New Roman" w:hAnsi="Arial" w:cs="Arial"/>
          <w:color w:val="252525"/>
          <w:sz w:val="21"/>
          <w:szCs w:val="21"/>
          <w:lang w:eastAsia="mk-MK"/>
        </w:rPr>
        <w:t>: </w:t>
      </w:r>
      <w:r w:rsidRPr="00570C0D">
        <w:rPr>
          <w:rFonts w:ascii="Arial" w:eastAsia="Times New Roman" w:hAnsi="Arial" w:cs="Arial"/>
          <w:i/>
          <w:iCs/>
          <w:color w:val="252525"/>
          <w:sz w:val="21"/>
          <w:szCs w:val="21"/>
          <w:lang w:eastAsia="mk-MK"/>
        </w:rPr>
        <w:t>spread</w:t>
      </w:r>
      <w:r w:rsidRPr="00570C0D">
        <w:rPr>
          <w:rFonts w:ascii="Arial" w:eastAsia="Times New Roman" w:hAnsi="Arial" w:cs="Arial"/>
          <w:color w:val="252525"/>
          <w:sz w:val="21"/>
          <w:szCs w:val="21"/>
          <w:lang w:eastAsia="mk-MK"/>
        </w:rPr>
        <w:t>).</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Во продолжение, банките можат да остварат </w:t>
      </w:r>
      <w:hyperlink r:id="rId45" w:tooltip="Профит" w:history="1">
        <w:r w:rsidRPr="00570C0D">
          <w:rPr>
            <w:rFonts w:ascii="Arial" w:eastAsia="Times New Roman" w:hAnsi="Arial" w:cs="Arial"/>
            <w:color w:val="0B0080"/>
            <w:sz w:val="21"/>
            <w:szCs w:val="21"/>
            <w:u w:val="single"/>
            <w:lang w:eastAsia="mk-MK"/>
          </w:rPr>
          <w:t>профит</w:t>
        </w:r>
      </w:hyperlink>
      <w:r w:rsidRPr="00570C0D">
        <w:rPr>
          <w:rFonts w:ascii="Arial" w:eastAsia="Times New Roman" w:hAnsi="Arial" w:cs="Arial"/>
          <w:color w:val="252525"/>
          <w:sz w:val="21"/>
          <w:szCs w:val="21"/>
          <w:lang w:eastAsia="mk-MK"/>
        </w:rPr>
        <w:t xml:space="preserve"> и врз основа на спекулирање на идното движење на каматните стапки, т.е. на цените на хартиите од вредност. Во тој случај, во зависност од нивните очекувања за движењето на каматните стапки, банките можат да заземат долга или куса позиција во одредени хартии од вредност. На пример, доколку банката очекува дека каматните стапки во следниот период ќе опаѓаат (а тоа значи </w:t>
      </w:r>
      <w:r w:rsidRPr="00570C0D">
        <w:rPr>
          <w:rFonts w:ascii="Arial" w:eastAsia="Times New Roman" w:hAnsi="Arial" w:cs="Arial"/>
          <w:color w:val="252525"/>
          <w:sz w:val="21"/>
          <w:szCs w:val="21"/>
          <w:lang w:eastAsia="mk-MK"/>
        </w:rPr>
        <w:lastRenderedPageBreak/>
        <w:t>дека цените на </w:t>
      </w:r>
      <w:hyperlink r:id="rId46" w:tooltip="Обврзница" w:history="1">
        <w:r w:rsidRPr="00570C0D">
          <w:rPr>
            <w:rFonts w:ascii="Arial" w:eastAsia="Times New Roman" w:hAnsi="Arial" w:cs="Arial"/>
            <w:color w:val="0B0080"/>
            <w:sz w:val="21"/>
            <w:szCs w:val="21"/>
            <w:u w:val="single"/>
            <w:lang w:eastAsia="mk-MK"/>
          </w:rPr>
          <w:t>обврзниците</w:t>
        </w:r>
      </w:hyperlink>
      <w:r w:rsidRPr="00570C0D">
        <w:rPr>
          <w:rFonts w:ascii="Arial" w:eastAsia="Times New Roman" w:hAnsi="Arial" w:cs="Arial"/>
          <w:color w:val="252525"/>
          <w:sz w:val="21"/>
          <w:szCs w:val="21"/>
          <w:lang w:eastAsia="mk-MK"/>
        </w:rPr>
        <w:t> ќе растат), таа ќе купува обврзници (долга позиција), кои што подоцна ќе ги продаде по повисока цена и на тој начин ќе оствари профит. Најпосле, банките можат да заработат и врз основа на давање разни услуги на своите клиенти во врска со работењето со хартиите од вредност (инвестициско советување, раководење со финансиски имоти итн.)</w:t>
      </w:r>
      <w:hyperlink r:id="rId47" w:anchor="cite_note-15" w:history="1">
        <w:r w:rsidRPr="00570C0D">
          <w:rPr>
            <w:rFonts w:ascii="Arial" w:eastAsia="Times New Roman" w:hAnsi="Arial" w:cs="Arial"/>
            <w:color w:val="0B0080"/>
            <w:sz w:val="21"/>
            <w:szCs w:val="21"/>
            <w:u w:val="single"/>
            <w:vertAlign w:val="superscript"/>
            <w:lang w:eastAsia="mk-MK"/>
          </w:rPr>
          <w:t>[15]</w:t>
        </w:r>
      </w:hyperlink>
    </w:p>
    <w:p w:rsidR="00570C0D" w:rsidRPr="00570C0D" w:rsidRDefault="00570C0D" w:rsidP="00570C0D">
      <w:pPr>
        <w:pBdr>
          <w:bottom w:val="single" w:sz="6" w:space="0" w:color="A2A9B1"/>
        </w:pBdr>
        <w:spacing w:before="240" w:after="60" w:line="240" w:lineRule="auto"/>
        <w:ind w:left="1536"/>
        <w:outlineLvl w:val="1"/>
        <w:rPr>
          <w:rFonts w:ascii="Georgia" w:eastAsia="Times New Roman" w:hAnsi="Georgia" w:cs="Arial"/>
          <w:color w:val="000000"/>
          <w:sz w:val="32"/>
          <w:szCs w:val="32"/>
          <w:lang w:eastAsia="mk-MK"/>
        </w:rPr>
      </w:pPr>
      <w:r w:rsidRPr="00570C0D">
        <w:rPr>
          <w:rFonts w:ascii="Georgia" w:eastAsia="Times New Roman" w:hAnsi="Georgia" w:cs="Arial"/>
          <w:color w:val="000000"/>
          <w:sz w:val="32"/>
          <w:szCs w:val="32"/>
          <w:lang w:eastAsia="mk-MK"/>
        </w:rPr>
        <w:t>Видови долгорочни вредносни хартии на пазарот на капитал</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Во основа постојат два вида долгорочни вредносни хартии: обврзници и </w:t>
      </w:r>
      <w:hyperlink r:id="rId48" w:tooltip="Акции" w:history="1">
        <w:r w:rsidRPr="00570C0D">
          <w:rPr>
            <w:rFonts w:ascii="Arial" w:eastAsia="Times New Roman" w:hAnsi="Arial" w:cs="Arial"/>
            <w:color w:val="0B0080"/>
            <w:sz w:val="21"/>
            <w:szCs w:val="21"/>
            <w:u w:val="single"/>
            <w:lang w:eastAsia="mk-MK"/>
          </w:rPr>
          <w:t>акции</w:t>
        </w:r>
      </w:hyperlink>
      <w:r w:rsidRPr="00570C0D">
        <w:rPr>
          <w:rFonts w:ascii="Arial" w:eastAsia="Times New Roman" w:hAnsi="Arial" w:cs="Arial"/>
          <w:color w:val="252525"/>
          <w:sz w:val="21"/>
          <w:szCs w:val="21"/>
          <w:lang w:eastAsia="mk-MK"/>
        </w:rPr>
        <w:t>. Главната разлика меѓу нив е што обврзницата е кредитна хартија, а акцијата е сопственичка вредносна хартија.</w:t>
      </w:r>
    </w:p>
    <w:p w:rsidR="00570C0D" w:rsidRPr="00570C0D" w:rsidRDefault="00570C0D" w:rsidP="00570C0D">
      <w:pPr>
        <w:spacing w:before="72" w:after="0" w:line="240" w:lineRule="auto"/>
        <w:ind w:left="1536"/>
        <w:outlineLvl w:val="2"/>
        <w:rPr>
          <w:rFonts w:ascii="Arial" w:eastAsia="Times New Roman" w:hAnsi="Arial" w:cs="Arial"/>
          <w:b/>
          <w:bCs/>
          <w:color w:val="000000"/>
          <w:sz w:val="25"/>
          <w:szCs w:val="25"/>
          <w:lang w:eastAsia="mk-MK"/>
        </w:rPr>
      </w:pPr>
      <w:r w:rsidRPr="00570C0D">
        <w:rPr>
          <w:rFonts w:ascii="Arial" w:eastAsia="Times New Roman" w:hAnsi="Arial" w:cs="Arial"/>
          <w:b/>
          <w:bCs/>
          <w:color w:val="000000"/>
          <w:sz w:val="25"/>
          <w:szCs w:val="25"/>
          <w:lang w:eastAsia="mk-MK"/>
        </w:rPr>
        <w:t>Акции</w:t>
      </w:r>
    </w:p>
    <w:p w:rsidR="00570C0D" w:rsidRPr="00570C0D" w:rsidRDefault="00570C0D" w:rsidP="00570C0D">
      <w:pPr>
        <w:spacing w:before="120" w:after="120" w:line="240" w:lineRule="auto"/>
        <w:ind w:left="153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Акцијата претставува хартија од вредност со која се стекнува сопственичко право врз идеален дел од компанијата, пропорционално на големината на учеството на таа акција во вкупниот </w:t>
      </w:r>
      <w:hyperlink r:id="rId49" w:tooltip="Акционерски капитал (страницата не постои)" w:history="1">
        <w:r w:rsidRPr="00570C0D">
          <w:rPr>
            <w:rFonts w:ascii="Arial" w:eastAsia="Times New Roman" w:hAnsi="Arial" w:cs="Arial"/>
            <w:color w:val="A55858"/>
            <w:sz w:val="21"/>
            <w:szCs w:val="21"/>
            <w:u w:val="single"/>
            <w:lang w:eastAsia="mk-MK"/>
          </w:rPr>
          <w:t>акционерски капитал</w:t>
        </w:r>
      </w:hyperlink>
      <w:r w:rsidRPr="00570C0D">
        <w:rPr>
          <w:rFonts w:ascii="Arial" w:eastAsia="Times New Roman" w:hAnsi="Arial" w:cs="Arial"/>
          <w:color w:val="252525"/>
          <w:sz w:val="21"/>
          <w:szCs w:val="21"/>
          <w:lang w:eastAsia="mk-MK"/>
        </w:rPr>
        <w:t>. Претпријатието што се создава врз основа на емисија на акции се нарекува </w:t>
      </w:r>
      <w:hyperlink r:id="rId50" w:tooltip="Акционерско друштво" w:history="1">
        <w:r w:rsidRPr="00570C0D">
          <w:rPr>
            <w:rFonts w:ascii="Arial" w:eastAsia="Times New Roman" w:hAnsi="Arial" w:cs="Arial"/>
            <w:color w:val="0B0080"/>
            <w:sz w:val="21"/>
            <w:szCs w:val="21"/>
            <w:u w:val="single"/>
            <w:lang w:eastAsia="mk-MK"/>
          </w:rPr>
          <w:t>акционерско друштво</w:t>
        </w:r>
      </w:hyperlink>
      <w:r w:rsidRPr="00570C0D">
        <w:rPr>
          <w:rFonts w:ascii="Arial" w:eastAsia="Times New Roman" w:hAnsi="Arial" w:cs="Arial"/>
          <w:color w:val="252525"/>
          <w:sz w:val="21"/>
          <w:szCs w:val="21"/>
          <w:lang w:eastAsia="mk-MK"/>
        </w:rPr>
        <w:t>. Карактеристично за капиталот обезбеден преку продажба на акциите е тоа што тој е траен, т.е без обврска за враќање. Сопствениците на акциите имаат неколку основни права:</w:t>
      </w:r>
    </w:p>
    <w:p w:rsidR="00570C0D" w:rsidRPr="00570C0D" w:rsidRDefault="00570C0D" w:rsidP="00570C0D">
      <w:pPr>
        <w:numPr>
          <w:ilvl w:val="0"/>
          <w:numId w:val="8"/>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право на глас во акционерското собрание</w:t>
      </w:r>
    </w:p>
    <w:p w:rsidR="00570C0D" w:rsidRPr="00570C0D" w:rsidRDefault="00570C0D" w:rsidP="00570C0D">
      <w:pPr>
        <w:numPr>
          <w:ilvl w:val="0"/>
          <w:numId w:val="8"/>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право на дивиденда, како дел од добивката на друштвото</w:t>
      </w:r>
    </w:p>
    <w:p w:rsidR="00570C0D" w:rsidRPr="00570C0D" w:rsidRDefault="00570C0D" w:rsidP="00570C0D">
      <w:pPr>
        <w:numPr>
          <w:ilvl w:val="0"/>
          <w:numId w:val="8"/>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право на дел од стечајната маса, во случај на ликвидација на друштвото. Во поглед на ова право, сопствениците на акциите се субординирани во однос на сите други довереители, така што тие ќе добијат дел од стечајната маса, само откако сите други доверители ќе бидат обештетени.</w:t>
      </w:r>
      <w:hyperlink r:id="rId51" w:anchor="cite_note-16" w:history="1">
        <w:r w:rsidRPr="00570C0D">
          <w:rPr>
            <w:rFonts w:ascii="Arial" w:eastAsia="Times New Roman" w:hAnsi="Arial" w:cs="Arial"/>
            <w:color w:val="0B0080"/>
            <w:sz w:val="21"/>
            <w:szCs w:val="21"/>
            <w:u w:val="single"/>
            <w:vertAlign w:val="superscript"/>
            <w:lang w:eastAsia="mk-MK"/>
          </w:rPr>
          <w:t>[16]</w:t>
        </w:r>
      </w:hyperlink>
    </w:p>
    <w:p w:rsidR="00570C0D" w:rsidRPr="00570C0D" w:rsidRDefault="00570C0D" w:rsidP="00570C0D">
      <w:pPr>
        <w:spacing w:before="72" w:after="0" w:line="240" w:lineRule="auto"/>
        <w:ind w:left="1920"/>
        <w:outlineLvl w:val="3"/>
        <w:rPr>
          <w:rFonts w:ascii="Arial" w:eastAsia="Times New Roman" w:hAnsi="Arial" w:cs="Arial"/>
          <w:b/>
          <w:bCs/>
          <w:color w:val="000000"/>
          <w:sz w:val="21"/>
          <w:szCs w:val="21"/>
          <w:lang w:eastAsia="mk-MK"/>
        </w:rPr>
      </w:pPr>
      <w:r w:rsidRPr="00570C0D">
        <w:rPr>
          <w:rFonts w:ascii="Arial" w:eastAsia="Times New Roman" w:hAnsi="Arial" w:cs="Arial"/>
          <w:b/>
          <w:bCs/>
          <w:color w:val="000000"/>
          <w:sz w:val="21"/>
          <w:szCs w:val="21"/>
          <w:lang w:eastAsia="mk-MK"/>
        </w:rPr>
        <w:t>Видови акции</w:t>
      </w:r>
    </w:p>
    <w:p w:rsidR="00570C0D" w:rsidRPr="00570C0D" w:rsidRDefault="00570C0D" w:rsidP="00570C0D">
      <w:pPr>
        <w:spacing w:before="120" w:after="120" w:line="240" w:lineRule="auto"/>
        <w:ind w:left="1920"/>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Во прв ред, разликуваме обични и приоритетни акции.</w:t>
      </w:r>
    </w:p>
    <w:p w:rsidR="00570C0D" w:rsidRPr="00570C0D" w:rsidRDefault="00570C0D" w:rsidP="00570C0D">
      <w:pPr>
        <w:numPr>
          <w:ilvl w:val="0"/>
          <w:numId w:val="9"/>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Обични акции</w:t>
      </w:r>
    </w:p>
    <w:p w:rsidR="00570C0D" w:rsidRPr="00570C0D" w:rsidRDefault="00570C0D" w:rsidP="00570C0D">
      <w:pPr>
        <w:spacing w:before="120" w:after="120" w:line="240" w:lineRule="auto"/>
        <w:ind w:left="23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Обичната акција е првата хартија од вредност која една корпорација ја издава и во случај на банкротство, последната што може да биде наплатена. Таа претставува сопственичка акција во фирмата; таа претставува побарување со најнизок приоритет спрема приходите и средствата од сите емитирани хартии од вредност. Сопствениците на обични акции ја имаат моќта да гласаат за управниот одбор и да гласаат за главните прашања кои можат да бидат презентирани пред акционерите. Колку повеќе акции има еден инвеститор, толку повеќе гласови тој или таа контролира. Инвеститорот во обични акции добива потврда за сопственост. Потврдата го означува бројот на акциите и нивната номинална вредност.</w:t>
      </w:r>
      <w:hyperlink r:id="rId52" w:anchor="cite_note-17" w:history="1">
        <w:r w:rsidRPr="00570C0D">
          <w:rPr>
            <w:rFonts w:ascii="Arial" w:eastAsia="Times New Roman" w:hAnsi="Arial" w:cs="Arial"/>
            <w:color w:val="0B0080"/>
            <w:sz w:val="21"/>
            <w:szCs w:val="21"/>
            <w:u w:val="single"/>
            <w:vertAlign w:val="superscript"/>
            <w:lang w:eastAsia="mk-MK"/>
          </w:rPr>
          <w:t>[17]</w:t>
        </w:r>
      </w:hyperlink>
    </w:p>
    <w:p w:rsidR="00570C0D" w:rsidRPr="00570C0D" w:rsidRDefault="00570C0D" w:rsidP="00570C0D">
      <w:pPr>
        <w:numPr>
          <w:ilvl w:val="0"/>
          <w:numId w:val="10"/>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Приоритетни акции</w:t>
      </w:r>
    </w:p>
    <w:p w:rsidR="00570C0D" w:rsidRPr="00570C0D" w:rsidRDefault="00570C0D" w:rsidP="00570C0D">
      <w:pPr>
        <w:spacing w:before="120" w:after="120" w:line="240" w:lineRule="auto"/>
        <w:ind w:left="2688"/>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Како што самото име кажува, приоритетните акции имаат определени привилегии во однос на обичните акции. Овие привилегии, односно приоритети, се однесуваат на приоритетот во исплатата на </w:t>
      </w:r>
      <w:hyperlink r:id="rId53" w:tooltip="Дивиденда" w:history="1">
        <w:r w:rsidRPr="00570C0D">
          <w:rPr>
            <w:rFonts w:ascii="Arial" w:eastAsia="Times New Roman" w:hAnsi="Arial" w:cs="Arial"/>
            <w:color w:val="0B0080"/>
            <w:sz w:val="21"/>
            <w:szCs w:val="21"/>
            <w:u w:val="single"/>
            <w:lang w:eastAsia="mk-MK"/>
          </w:rPr>
          <w:t>дивиденда</w:t>
        </w:r>
      </w:hyperlink>
      <w:r w:rsidRPr="00570C0D">
        <w:rPr>
          <w:rFonts w:ascii="Arial" w:eastAsia="Times New Roman" w:hAnsi="Arial" w:cs="Arial"/>
          <w:color w:val="252525"/>
          <w:sz w:val="21"/>
          <w:szCs w:val="21"/>
          <w:lang w:eastAsia="mk-MK"/>
        </w:rPr>
        <w:t xml:space="preserve"> за нивните сопственици, како и приоритетот во однос на обичните акции при наплата на дел од стечајната маса во случај на ликвидација на друштвото. Овие привилегии најчесто (но, не задолжително) се компензирани со </w:t>
      </w:r>
      <w:r w:rsidRPr="00570C0D">
        <w:rPr>
          <w:rFonts w:ascii="Arial" w:eastAsia="Times New Roman" w:hAnsi="Arial" w:cs="Arial"/>
          <w:color w:val="252525"/>
          <w:sz w:val="21"/>
          <w:szCs w:val="21"/>
          <w:lang w:eastAsia="mk-MK"/>
        </w:rPr>
        <w:lastRenderedPageBreak/>
        <w:t>губењето на управувачкото </w:t>
      </w:r>
      <w:hyperlink r:id="rId54" w:tooltip="Право" w:history="1">
        <w:r w:rsidRPr="00570C0D">
          <w:rPr>
            <w:rFonts w:ascii="Arial" w:eastAsia="Times New Roman" w:hAnsi="Arial" w:cs="Arial"/>
            <w:color w:val="0B0080"/>
            <w:sz w:val="21"/>
            <w:szCs w:val="21"/>
            <w:u w:val="single"/>
            <w:lang w:eastAsia="mk-MK"/>
          </w:rPr>
          <w:t>право</w:t>
        </w:r>
      </w:hyperlink>
      <w:r w:rsidRPr="00570C0D">
        <w:rPr>
          <w:rFonts w:ascii="Arial" w:eastAsia="Times New Roman" w:hAnsi="Arial" w:cs="Arial"/>
          <w:color w:val="252525"/>
          <w:sz w:val="21"/>
          <w:szCs w:val="21"/>
          <w:lang w:eastAsia="mk-MK"/>
        </w:rPr>
        <w:t>. Една од карактеристиките кои тие најчесто ги имаат, е фиксниот дивиденден принос, т.е. дефинираната големина на дивидендата што им следува на сопствениците на овие акции. Обично, таа се утврдува како </w:t>
      </w:r>
      <w:hyperlink r:id="rId55" w:tooltip="Процент" w:history="1">
        <w:r w:rsidRPr="00570C0D">
          <w:rPr>
            <w:rFonts w:ascii="Arial" w:eastAsia="Times New Roman" w:hAnsi="Arial" w:cs="Arial"/>
            <w:color w:val="0B0080"/>
            <w:sz w:val="21"/>
            <w:szCs w:val="21"/>
            <w:u w:val="single"/>
            <w:lang w:eastAsia="mk-MK"/>
          </w:rPr>
          <w:t>процент</w:t>
        </w:r>
      </w:hyperlink>
      <w:r w:rsidRPr="00570C0D">
        <w:rPr>
          <w:rFonts w:ascii="Arial" w:eastAsia="Times New Roman" w:hAnsi="Arial" w:cs="Arial"/>
          <w:color w:val="252525"/>
          <w:sz w:val="21"/>
          <w:szCs w:val="21"/>
          <w:lang w:eastAsia="mk-MK"/>
        </w:rPr>
        <w:t> од нивната номинална вредност и така утврдената дивиденда е максималниот износ што тие можат да го добијат. Исплатата на дивидендата зависи од остварената нето-добивка на компанијата, но и од одлуката на управниот одбор. Така, доколку компанијата не оствари нето-добивка, нема да се врши ниту исплата на приоритетните дивиденди.</w:t>
      </w:r>
      <w:hyperlink r:id="rId56" w:anchor="cite_note-18" w:history="1">
        <w:r w:rsidRPr="00570C0D">
          <w:rPr>
            <w:rFonts w:ascii="Arial" w:eastAsia="Times New Roman" w:hAnsi="Arial" w:cs="Arial"/>
            <w:color w:val="0B0080"/>
            <w:sz w:val="21"/>
            <w:szCs w:val="21"/>
            <w:u w:val="single"/>
            <w:vertAlign w:val="superscript"/>
            <w:lang w:eastAsia="mk-MK"/>
          </w:rPr>
          <w:t>[18]</w:t>
        </w:r>
      </w:hyperlink>
    </w:p>
    <w:p w:rsidR="00570C0D" w:rsidRPr="00570C0D" w:rsidRDefault="00570C0D" w:rsidP="00570C0D">
      <w:pPr>
        <w:spacing w:before="72" w:after="0" w:line="240" w:lineRule="auto"/>
        <w:ind w:left="2688"/>
        <w:outlineLvl w:val="3"/>
        <w:rPr>
          <w:rFonts w:ascii="Arial" w:eastAsia="Times New Roman" w:hAnsi="Arial" w:cs="Arial"/>
          <w:b/>
          <w:bCs/>
          <w:color w:val="000000"/>
          <w:sz w:val="21"/>
          <w:szCs w:val="21"/>
          <w:lang w:eastAsia="mk-MK"/>
        </w:rPr>
      </w:pPr>
      <w:r w:rsidRPr="00570C0D">
        <w:rPr>
          <w:rFonts w:ascii="Arial" w:eastAsia="Times New Roman" w:hAnsi="Arial" w:cs="Arial"/>
          <w:b/>
          <w:bCs/>
          <w:color w:val="000000"/>
          <w:sz w:val="21"/>
          <w:szCs w:val="21"/>
          <w:lang w:eastAsia="mk-MK"/>
        </w:rPr>
        <w:t>Обврзници</w:t>
      </w:r>
    </w:p>
    <w:p w:rsidR="00570C0D" w:rsidRPr="00570C0D" w:rsidRDefault="00570C0D" w:rsidP="00570C0D">
      <w:pPr>
        <w:spacing w:before="120" w:after="120" w:line="240" w:lineRule="auto"/>
        <w:ind w:left="2688"/>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Обврзницата претставува долгорочна должничка хартија од вредност, со чија продажба емитентот доаѓа до дополнителен капитал, а истовремено се обврзува дека позајмениот капитал ќе го врати, согласно со предвидените услови во договорот за емисија на обврзници, заедно со каматата според договорената каматна стапка.</w:t>
      </w:r>
    </w:p>
    <w:p w:rsidR="00570C0D" w:rsidRPr="00570C0D" w:rsidRDefault="00570C0D" w:rsidP="00570C0D">
      <w:pPr>
        <w:spacing w:before="120" w:after="120" w:line="240" w:lineRule="auto"/>
        <w:ind w:left="2688"/>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Капиталот прибран преку емисија на обврзници ги има речиси истите карактеристики како и оној што е обезбеден преку </w:t>
      </w:r>
      <w:hyperlink r:id="rId57" w:tooltip="Кредит" w:history="1">
        <w:r w:rsidRPr="00570C0D">
          <w:rPr>
            <w:rFonts w:ascii="Arial" w:eastAsia="Times New Roman" w:hAnsi="Arial" w:cs="Arial"/>
            <w:color w:val="0B0080"/>
            <w:sz w:val="21"/>
            <w:szCs w:val="21"/>
            <w:u w:val="single"/>
            <w:lang w:eastAsia="mk-MK"/>
          </w:rPr>
          <w:t>банкарски кредит</w:t>
        </w:r>
      </w:hyperlink>
      <w:r w:rsidRPr="00570C0D">
        <w:rPr>
          <w:rFonts w:ascii="Arial" w:eastAsia="Times New Roman" w:hAnsi="Arial" w:cs="Arial"/>
          <w:color w:val="252525"/>
          <w:sz w:val="21"/>
          <w:szCs w:val="21"/>
          <w:lang w:eastAsia="mk-MK"/>
        </w:rPr>
        <w:t>. Доколку поединечна банка се јави во улога на доверител кога станува збор за кредити во висок износ, би дошло до нејзино преголемо изложување на ризик кон конкретен кредитобарател, а со тоа и до утврдување на многу висока </w:t>
      </w:r>
      <w:hyperlink r:id="rId58" w:tooltip="Камата" w:history="1">
        <w:r w:rsidRPr="00570C0D">
          <w:rPr>
            <w:rFonts w:ascii="Arial" w:eastAsia="Times New Roman" w:hAnsi="Arial" w:cs="Arial"/>
            <w:color w:val="0B0080"/>
            <w:sz w:val="21"/>
            <w:szCs w:val="21"/>
            <w:u w:val="single"/>
            <w:lang w:eastAsia="mk-MK"/>
          </w:rPr>
          <w:t>камата</w:t>
        </w:r>
      </w:hyperlink>
      <w:r w:rsidRPr="00570C0D">
        <w:rPr>
          <w:rFonts w:ascii="Arial" w:eastAsia="Times New Roman" w:hAnsi="Arial" w:cs="Arial"/>
          <w:color w:val="252525"/>
          <w:sz w:val="21"/>
          <w:szCs w:val="21"/>
          <w:lang w:eastAsia="mk-MK"/>
        </w:rPr>
        <w:t>. Наместо тоа, емисијата на обврзници овозможува прибирање поголема маса капитал преку обраќање до широката инвеститорска публика, така што секој поединечен инвеститор се јавува во улога на доверител во мал обем и се врши </w:t>
      </w:r>
      <w:hyperlink r:id="rId59" w:tooltip="Дисперзија (статистика)" w:history="1">
        <w:r w:rsidRPr="00570C0D">
          <w:rPr>
            <w:rFonts w:ascii="Arial" w:eastAsia="Times New Roman" w:hAnsi="Arial" w:cs="Arial"/>
            <w:color w:val="0B0080"/>
            <w:sz w:val="21"/>
            <w:szCs w:val="21"/>
            <w:u w:val="single"/>
            <w:lang w:eastAsia="mk-MK"/>
          </w:rPr>
          <w:t>дисперзија</w:t>
        </w:r>
      </w:hyperlink>
      <w:r w:rsidRPr="00570C0D">
        <w:rPr>
          <w:rFonts w:ascii="Arial" w:eastAsia="Times New Roman" w:hAnsi="Arial" w:cs="Arial"/>
          <w:color w:val="252525"/>
          <w:sz w:val="21"/>
          <w:szCs w:val="21"/>
          <w:lang w:eastAsia="mk-MK"/>
        </w:rPr>
        <w:t> на ризикот. Тоа, од една страна, го прави можно позајмувањето на некогаш огромни суми пари, а од друга страна, може да значи и позајмување по пониска каматна стапка од онаа што би се формирала во релацијата со поединечна банка.</w:t>
      </w:r>
      <w:hyperlink r:id="rId60" w:anchor="cite_note-19" w:history="1">
        <w:r w:rsidRPr="00570C0D">
          <w:rPr>
            <w:rFonts w:ascii="Arial" w:eastAsia="Times New Roman" w:hAnsi="Arial" w:cs="Arial"/>
            <w:color w:val="0B0080"/>
            <w:sz w:val="21"/>
            <w:szCs w:val="21"/>
            <w:u w:val="single"/>
            <w:vertAlign w:val="superscript"/>
            <w:lang w:eastAsia="mk-MK"/>
          </w:rPr>
          <w:t>[19]</w:t>
        </w:r>
      </w:hyperlink>
    </w:p>
    <w:p w:rsidR="00570C0D" w:rsidRPr="00570C0D" w:rsidRDefault="00570C0D" w:rsidP="00570C0D">
      <w:pPr>
        <w:spacing w:before="72" w:after="0" w:line="240" w:lineRule="auto"/>
        <w:ind w:left="2688"/>
        <w:outlineLvl w:val="3"/>
        <w:rPr>
          <w:rFonts w:ascii="Arial" w:eastAsia="Times New Roman" w:hAnsi="Arial" w:cs="Arial"/>
          <w:b/>
          <w:bCs/>
          <w:color w:val="000000"/>
          <w:sz w:val="21"/>
          <w:szCs w:val="21"/>
          <w:lang w:eastAsia="mk-MK"/>
        </w:rPr>
      </w:pPr>
      <w:r w:rsidRPr="00570C0D">
        <w:rPr>
          <w:rFonts w:ascii="Arial" w:eastAsia="Times New Roman" w:hAnsi="Arial" w:cs="Arial"/>
          <w:b/>
          <w:bCs/>
          <w:color w:val="000000"/>
          <w:sz w:val="21"/>
          <w:szCs w:val="21"/>
          <w:lang w:eastAsia="mk-MK"/>
        </w:rPr>
        <w:t>Видови обврзници</w:t>
      </w:r>
    </w:p>
    <w:p w:rsidR="00570C0D" w:rsidRPr="00570C0D" w:rsidRDefault="00570C0D" w:rsidP="00570C0D">
      <w:pPr>
        <w:spacing w:before="120" w:after="120" w:line="240" w:lineRule="auto"/>
        <w:ind w:left="2688"/>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Покрај компаниите, обврзници емитуваат и банките, државните органи, </w:t>
      </w:r>
      <w:hyperlink r:id="rId61" w:tooltip="Општини" w:history="1">
        <w:r w:rsidRPr="00570C0D">
          <w:rPr>
            <w:rFonts w:ascii="Arial" w:eastAsia="Times New Roman" w:hAnsi="Arial" w:cs="Arial"/>
            <w:color w:val="0B0080"/>
            <w:sz w:val="21"/>
            <w:szCs w:val="21"/>
            <w:u w:val="single"/>
            <w:lang w:eastAsia="mk-MK"/>
          </w:rPr>
          <w:t>општините</w:t>
        </w:r>
      </w:hyperlink>
      <w:r w:rsidRPr="00570C0D">
        <w:rPr>
          <w:rFonts w:ascii="Arial" w:eastAsia="Times New Roman" w:hAnsi="Arial" w:cs="Arial"/>
          <w:color w:val="252525"/>
          <w:sz w:val="21"/>
          <w:szCs w:val="21"/>
          <w:lang w:eastAsia="mk-MK"/>
        </w:rPr>
        <w:t> и сл. Како резултат на оваа широка распространетост, досега се развиени голем број видови и подвидови од овие хартии од вредност, секој од нив со свои карактеристики што ги прават погодни за примена во одделни ситуации.</w:t>
      </w:r>
      <w:hyperlink r:id="rId62" w:anchor="cite_note-20" w:history="1">
        <w:r w:rsidRPr="00570C0D">
          <w:rPr>
            <w:rFonts w:ascii="Arial" w:eastAsia="Times New Roman" w:hAnsi="Arial" w:cs="Arial"/>
            <w:color w:val="0B0080"/>
            <w:sz w:val="21"/>
            <w:szCs w:val="21"/>
            <w:u w:val="single"/>
            <w:vertAlign w:val="superscript"/>
            <w:lang w:eastAsia="mk-MK"/>
          </w:rPr>
          <w:t>[20]</w:t>
        </w:r>
      </w:hyperlink>
    </w:p>
    <w:p w:rsidR="00570C0D" w:rsidRPr="00570C0D" w:rsidRDefault="00570C0D" w:rsidP="00570C0D">
      <w:pPr>
        <w:numPr>
          <w:ilvl w:val="0"/>
          <w:numId w:val="11"/>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Купонска обврзница</w:t>
      </w:r>
    </w:p>
    <w:p w:rsidR="00570C0D" w:rsidRPr="00570C0D" w:rsidRDefault="00570C0D" w:rsidP="00570C0D">
      <w:pPr>
        <w:spacing w:before="120" w:after="120" w:line="240" w:lineRule="auto"/>
        <w:ind w:left="3072"/>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Ова е класичниот вид обврзница, кај која, во текот на целиот период на достасување се врши исплата на купонската камата во предвидените временски интервали (годишно или полугодишно), а исплатата на главницата (номиналната вредност) се врши на крајот на периодот на достасувањето.</w:t>
      </w:r>
    </w:p>
    <w:p w:rsidR="00570C0D" w:rsidRPr="00570C0D" w:rsidRDefault="00570C0D" w:rsidP="00570C0D">
      <w:pPr>
        <w:numPr>
          <w:ilvl w:val="0"/>
          <w:numId w:val="12"/>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Бескупонска обврзница</w:t>
      </w:r>
    </w:p>
    <w:p w:rsidR="00570C0D" w:rsidRPr="00570C0D" w:rsidRDefault="00570C0D" w:rsidP="00570C0D">
      <w:pPr>
        <w:spacing w:before="120" w:after="120" w:line="240" w:lineRule="auto"/>
        <w:ind w:left="345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 xml:space="preserve">Бескупонската обврзница уште се нарекува и дисконтна обврзница. За неа е карактеристично тоа што не содржи купони и не се врши периодична исплата на каматата, туку единствено главницата на обврзницата </w:t>
      </w:r>
      <w:r w:rsidRPr="00570C0D">
        <w:rPr>
          <w:rFonts w:ascii="Arial" w:eastAsia="Times New Roman" w:hAnsi="Arial" w:cs="Arial"/>
          <w:color w:val="252525"/>
          <w:sz w:val="21"/>
          <w:szCs w:val="21"/>
          <w:lang w:eastAsia="mk-MK"/>
        </w:rPr>
        <w:lastRenderedPageBreak/>
        <w:t>се исплатува на крајот на периодот на достасувањето. Поради тоа, оваа обврзница се продава по пониска вредност од номиналната (по дисконтирана вредност), а разликата до </w:t>
      </w:r>
      <w:hyperlink r:id="rId63" w:tooltip="Номиналната вредност (страницата не постои)" w:history="1">
        <w:r w:rsidRPr="00570C0D">
          <w:rPr>
            <w:rFonts w:ascii="Arial" w:eastAsia="Times New Roman" w:hAnsi="Arial" w:cs="Arial"/>
            <w:color w:val="A55858"/>
            <w:sz w:val="21"/>
            <w:szCs w:val="21"/>
            <w:u w:val="single"/>
            <w:lang w:eastAsia="mk-MK"/>
          </w:rPr>
          <w:t>номиналната вредност</w:t>
        </w:r>
      </w:hyperlink>
      <w:r w:rsidRPr="00570C0D">
        <w:rPr>
          <w:rFonts w:ascii="Arial" w:eastAsia="Times New Roman" w:hAnsi="Arial" w:cs="Arial"/>
          <w:color w:val="252525"/>
          <w:sz w:val="21"/>
          <w:szCs w:val="21"/>
          <w:lang w:eastAsia="mk-MK"/>
        </w:rPr>
        <w:t> ја претставува имплицитната камата.</w:t>
      </w:r>
    </w:p>
    <w:p w:rsidR="00570C0D" w:rsidRPr="00570C0D" w:rsidRDefault="00570C0D" w:rsidP="00570C0D">
      <w:pPr>
        <w:numPr>
          <w:ilvl w:val="0"/>
          <w:numId w:val="13"/>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Амортизирачки обврзници</w:t>
      </w:r>
    </w:p>
    <w:p w:rsidR="00570C0D" w:rsidRPr="00570C0D" w:rsidRDefault="00570C0D" w:rsidP="00570C0D">
      <w:pPr>
        <w:spacing w:before="120" w:after="120" w:line="240" w:lineRule="auto"/>
        <w:ind w:left="3840"/>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Кај овие обврзници, во текот на периодот на нивно достасување, се врши отплата и на главницата и исплата на каматата, по принципот на </w:t>
      </w:r>
      <w:hyperlink r:id="rId64" w:tooltip="Амортизација" w:history="1">
        <w:r w:rsidRPr="00570C0D">
          <w:rPr>
            <w:rFonts w:ascii="Arial" w:eastAsia="Times New Roman" w:hAnsi="Arial" w:cs="Arial"/>
            <w:color w:val="0B0080"/>
            <w:sz w:val="21"/>
            <w:szCs w:val="21"/>
            <w:u w:val="single"/>
            <w:lang w:eastAsia="mk-MK"/>
          </w:rPr>
          <w:t>амортизација</w:t>
        </w:r>
      </w:hyperlink>
      <w:r w:rsidRPr="00570C0D">
        <w:rPr>
          <w:rFonts w:ascii="Arial" w:eastAsia="Times New Roman" w:hAnsi="Arial" w:cs="Arial"/>
          <w:color w:val="252525"/>
          <w:sz w:val="21"/>
          <w:szCs w:val="21"/>
          <w:lang w:eastAsia="mk-MK"/>
        </w:rPr>
        <w:t> на </w:t>
      </w:r>
      <w:hyperlink r:id="rId65" w:tooltip="Долгорочни кредити" w:history="1">
        <w:r w:rsidRPr="00570C0D">
          <w:rPr>
            <w:rFonts w:ascii="Arial" w:eastAsia="Times New Roman" w:hAnsi="Arial" w:cs="Arial"/>
            <w:color w:val="0B0080"/>
            <w:sz w:val="21"/>
            <w:szCs w:val="21"/>
            <w:u w:val="single"/>
            <w:lang w:eastAsia="mk-MK"/>
          </w:rPr>
          <w:t>долгорочните кредити</w:t>
        </w:r>
      </w:hyperlink>
      <w:r w:rsidRPr="00570C0D">
        <w:rPr>
          <w:rFonts w:ascii="Arial" w:eastAsia="Times New Roman" w:hAnsi="Arial" w:cs="Arial"/>
          <w:color w:val="252525"/>
          <w:sz w:val="21"/>
          <w:szCs w:val="21"/>
          <w:lang w:eastAsia="mk-MK"/>
        </w:rPr>
        <w:t>. Од аспект на издавачот, корисно кај овие обврзници е тоа што обврската за исплата на главницата не достасува одеднаш, туку таа се протега во текот на подолг временски период.</w:t>
      </w:r>
    </w:p>
    <w:p w:rsidR="00570C0D" w:rsidRPr="00570C0D" w:rsidRDefault="00570C0D" w:rsidP="00570C0D">
      <w:pPr>
        <w:numPr>
          <w:ilvl w:val="0"/>
          <w:numId w:val="14"/>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Обврзници со флуктуирачка каматна стапка</w:t>
      </w:r>
    </w:p>
    <w:p w:rsidR="00570C0D" w:rsidRPr="00570C0D" w:rsidRDefault="00570C0D" w:rsidP="00570C0D">
      <w:pPr>
        <w:spacing w:before="120" w:after="120" w:line="240" w:lineRule="auto"/>
        <w:ind w:left="422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Издавањето обврзници со фиксна каматна стапка, кога тоа се врши во периоди кога каматните стапки се високи, го доведува издавачот во опасност да се задолжи и да плаќа висока камата во текот на подолг временски период. Во меѓувреме, каматните стапки на пазарот можат да се намалат, но емитентот е “врзан” за исплата на висока камата. За да ја избегне таквата ситуација, емитентот може да издаде обврзници со флуктуирачка (променлива) каматна стапка.</w:t>
      </w:r>
    </w:p>
    <w:p w:rsidR="00570C0D" w:rsidRPr="00570C0D" w:rsidRDefault="00570C0D" w:rsidP="00570C0D">
      <w:pPr>
        <w:numPr>
          <w:ilvl w:val="0"/>
          <w:numId w:val="15"/>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Отповикливи обврзници</w:t>
      </w:r>
    </w:p>
    <w:p w:rsidR="00570C0D" w:rsidRPr="00570C0D" w:rsidRDefault="00570C0D" w:rsidP="00570C0D">
      <w:pPr>
        <w:spacing w:before="120" w:after="120" w:line="240" w:lineRule="auto"/>
        <w:ind w:left="4608"/>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Отповикливите обврзници се таков тип на обврзници кај кои емитентот има право да ги повлече, отповика, т.е откупи по однапред определена цена. Ова право емитентот го користи доколку пазарните каматни стапки значително се намалат, по што, тој може да емитува нова емисија по пониска камата.</w:t>
      </w:r>
    </w:p>
    <w:p w:rsidR="00570C0D" w:rsidRPr="00570C0D" w:rsidRDefault="00570C0D" w:rsidP="00570C0D">
      <w:pPr>
        <w:numPr>
          <w:ilvl w:val="0"/>
          <w:numId w:val="16"/>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Индексирани обврзници</w:t>
      </w:r>
    </w:p>
    <w:p w:rsidR="00570C0D" w:rsidRPr="00570C0D" w:rsidRDefault="00570C0D" w:rsidP="00570C0D">
      <w:pPr>
        <w:spacing w:before="120" w:after="120" w:line="240" w:lineRule="auto"/>
        <w:ind w:left="4992"/>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Индексирањето претставува врзување на некоја номинална големина за стапката на </w:t>
      </w:r>
      <w:hyperlink r:id="rId66" w:tooltip="Инфлација" w:history="1">
        <w:r w:rsidRPr="00570C0D">
          <w:rPr>
            <w:rFonts w:ascii="Arial" w:eastAsia="Times New Roman" w:hAnsi="Arial" w:cs="Arial"/>
            <w:color w:val="0B0080"/>
            <w:sz w:val="21"/>
            <w:szCs w:val="21"/>
            <w:u w:val="single"/>
            <w:lang w:eastAsia="mk-MK"/>
          </w:rPr>
          <w:t>инфлација</w:t>
        </w:r>
      </w:hyperlink>
      <w:r w:rsidRPr="00570C0D">
        <w:rPr>
          <w:rFonts w:ascii="Arial" w:eastAsia="Times New Roman" w:hAnsi="Arial" w:cs="Arial"/>
          <w:color w:val="252525"/>
          <w:sz w:val="21"/>
          <w:szCs w:val="21"/>
          <w:lang w:eastAsia="mk-MK"/>
        </w:rPr>
        <w:t>. Тоа се применува во услови на повисока инфлација, со цел да се заштитат субјектите од нејзиното разорно дејство. Кај индексираните обврзници, номиналната вредност, а не каматната стапка, се врзува за стапката на инфлација.</w:t>
      </w:r>
    </w:p>
    <w:p w:rsidR="00570C0D" w:rsidRPr="00570C0D" w:rsidRDefault="00570C0D" w:rsidP="00570C0D">
      <w:pPr>
        <w:numPr>
          <w:ilvl w:val="0"/>
          <w:numId w:val="17"/>
        </w:numPr>
        <w:spacing w:before="100" w:beforeAutospacing="1" w:after="24" w:line="240" w:lineRule="auto"/>
        <w:ind w:left="1104"/>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Конвертибилни обврзници</w:t>
      </w:r>
    </w:p>
    <w:p w:rsidR="00570C0D" w:rsidRPr="00570C0D" w:rsidRDefault="00570C0D" w:rsidP="00570C0D">
      <w:pPr>
        <w:spacing w:before="120" w:after="120" w:line="240" w:lineRule="auto"/>
        <w:ind w:left="5376"/>
        <w:rPr>
          <w:rFonts w:ascii="Arial" w:eastAsia="Times New Roman" w:hAnsi="Arial" w:cs="Arial"/>
          <w:color w:val="252525"/>
          <w:sz w:val="21"/>
          <w:szCs w:val="21"/>
          <w:lang w:eastAsia="mk-MK"/>
        </w:rPr>
      </w:pPr>
      <w:r w:rsidRPr="00570C0D">
        <w:rPr>
          <w:rFonts w:ascii="Arial" w:eastAsia="Times New Roman" w:hAnsi="Arial" w:cs="Arial"/>
          <w:color w:val="252525"/>
          <w:sz w:val="21"/>
          <w:szCs w:val="21"/>
          <w:lang w:eastAsia="mk-MK"/>
        </w:rPr>
        <w:t xml:space="preserve">Конвертибилните обврзници имаат својство да можат да бидат </w:t>
      </w:r>
      <w:r w:rsidRPr="00570C0D">
        <w:rPr>
          <w:rFonts w:ascii="Arial" w:eastAsia="Times New Roman" w:hAnsi="Arial" w:cs="Arial"/>
          <w:color w:val="252525"/>
          <w:sz w:val="21"/>
          <w:szCs w:val="21"/>
          <w:lang w:eastAsia="mk-MK"/>
        </w:rPr>
        <w:lastRenderedPageBreak/>
        <w:t>заменети за обични акции на емитентот во одреден сооднос. Обично, компаниите издаваат конвертибилни обврзници со цел да ги направа поатрактивни, поради правото на конверзија.</w:t>
      </w:r>
    </w:p>
    <w:p w:rsidR="005B7518" w:rsidRDefault="005B7518">
      <w:bookmarkStart w:id="0" w:name="_GoBack"/>
      <w:bookmarkEnd w:id="0"/>
    </w:p>
    <w:sectPr w:rsidR="005B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03D"/>
    <w:multiLevelType w:val="multilevel"/>
    <w:tmpl w:val="D8E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E5734"/>
    <w:multiLevelType w:val="multilevel"/>
    <w:tmpl w:val="493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10012"/>
    <w:multiLevelType w:val="multilevel"/>
    <w:tmpl w:val="E28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86590"/>
    <w:multiLevelType w:val="multilevel"/>
    <w:tmpl w:val="0A8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80773"/>
    <w:multiLevelType w:val="multilevel"/>
    <w:tmpl w:val="0BB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F7B8D"/>
    <w:multiLevelType w:val="multilevel"/>
    <w:tmpl w:val="590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A73A1"/>
    <w:multiLevelType w:val="multilevel"/>
    <w:tmpl w:val="8CB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A1667"/>
    <w:multiLevelType w:val="multilevel"/>
    <w:tmpl w:val="57F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9522C"/>
    <w:multiLevelType w:val="multilevel"/>
    <w:tmpl w:val="448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84520E"/>
    <w:multiLevelType w:val="multilevel"/>
    <w:tmpl w:val="6A9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F3B25"/>
    <w:multiLevelType w:val="multilevel"/>
    <w:tmpl w:val="4FA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1B6311"/>
    <w:multiLevelType w:val="multilevel"/>
    <w:tmpl w:val="A3F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E91E10"/>
    <w:multiLevelType w:val="multilevel"/>
    <w:tmpl w:val="109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6F56A8"/>
    <w:multiLevelType w:val="multilevel"/>
    <w:tmpl w:val="5D1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C6865"/>
    <w:multiLevelType w:val="multilevel"/>
    <w:tmpl w:val="538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51539D"/>
    <w:multiLevelType w:val="multilevel"/>
    <w:tmpl w:val="0F2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2711D1"/>
    <w:multiLevelType w:val="multilevel"/>
    <w:tmpl w:val="7D4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6C4386"/>
    <w:multiLevelType w:val="multilevel"/>
    <w:tmpl w:val="6C1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C37EB6"/>
    <w:multiLevelType w:val="multilevel"/>
    <w:tmpl w:val="CC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F7786"/>
    <w:multiLevelType w:val="multilevel"/>
    <w:tmpl w:val="2BC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E84D51"/>
    <w:multiLevelType w:val="multilevel"/>
    <w:tmpl w:val="B5E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95B35"/>
    <w:multiLevelType w:val="multilevel"/>
    <w:tmpl w:val="A71A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52B9D"/>
    <w:multiLevelType w:val="multilevel"/>
    <w:tmpl w:val="BF1C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0E2AC5"/>
    <w:multiLevelType w:val="multilevel"/>
    <w:tmpl w:val="244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465A7D"/>
    <w:multiLevelType w:val="multilevel"/>
    <w:tmpl w:val="69A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F82FBE"/>
    <w:multiLevelType w:val="multilevel"/>
    <w:tmpl w:val="975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AA125D"/>
    <w:multiLevelType w:val="multilevel"/>
    <w:tmpl w:val="41B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1460FD"/>
    <w:multiLevelType w:val="multilevel"/>
    <w:tmpl w:val="475E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E56D0"/>
    <w:multiLevelType w:val="multilevel"/>
    <w:tmpl w:val="455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1D7B52"/>
    <w:multiLevelType w:val="multilevel"/>
    <w:tmpl w:val="7F0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5507CB"/>
    <w:multiLevelType w:val="multilevel"/>
    <w:tmpl w:val="595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2111F7"/>
    <w:multiLevelType w:val="multilevel"/>
    <w:tmpl w:val="D1F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9A1B67"/>
    <w:multiLevelType w:val="multilevel"/>
    <w:tmpl w:val="D82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3F5700"/>
    <w:multiLevelType w:val="multilevel"/>
    <w:tmpl w:val="B15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4"/>
  </w:num>
  <w:num w:numId="3">
    <w:abstractNumId w:val="0"/>
  </w:num>
  <w:num w:numId="4">
    <w:abstractNumId w:val="26"/>
  </w:num>
  <w:num w:numId="5">
    <w:abstractNumId w:val="19"/>
  </w:num>
  <w:num w:numId="6">
    <w:abstractNumId w:val="30"/>
  </w:num>
  <w:num w:numId="7">
    <w:abstractNumId w:val="14"/>
  </w:num>
  <w:num w:numId="8">
    <w:abstractNumId w:val="5"/>
  </w:num>
  <w:num w:numId="9">
    <w:abstractNumId w:val="22"/>
  </w:num>
  <w:num w:numId="10">
    <w:abstractNumId w:val="2"/>
  </w:num>
  <w:num w:numId="11">
    <w:abstractNumId w:val="20"/>
  </w:num>
  <w:num w:numId="12">
    <w:abstractNumId w:val="1"/>
  </w:num>
  <w:num w:numId="13">
    <w:abstractNumId w:val="16"/>
  </w:num>
  <w:num w:numId="14">
    <w:abstractNumId w:val="29"/>
  </w:num>
  <w:num w:numId="15">
    <w:abstractNumId w:val="8"/>
  </w:num>
  <w:num w:numId="16">
    <w:abstractNumId w:val="33"/>
  </w:num>
  <w:num w:numId="17">
    <w:abstractNumId w:val="11"/>
  </w:num>
  <w:num w:numId="18">
    <w:abstractNumId w:val="21"/>
  </w:num>
  <w:num w:numId="19">
    <w:abstractNumId w:val="18"/>
  </w:num>
  <w:num w:numId="20">
    <w:abstractNumId w:val="31"/>
  </w:num>
  <w:num w:numId="21">
    <w:abstractNumId w:val="7"/>
  </w:num>
  <w:num w:numId="22">
    <w:abstractNumId w:val="13"/>
  </w:num>
  <w:num w:numId="23">
    <w:abstractNumId w:val="10"/>
  </w:num>
  <w:num w:numId="24">
    <w:abstractNumId w:val="15"/>
  </w:num>
  <w:num w:numId="25">
    <w:abstractNumId w:val="12"/>
  </w:num>
  <w:num w:numId="26">
    <w:abstractNumId w:val="28"/>
  </w:num>
  <w:num w:numId="27">
    <w:abstractNumId w:val="17"/>
  </w:num>
  <w:num w:numId="28">
    <w:abstractNumId w:val="25"/>
  </w:num>
  <w:num w:numId="29">
    <w:abstractNumId w:val="9"/>
  </w:num>
  <w:num w:numId="30">
    <w:abstractNumId w:val="6"/>
  </w:num>
  <w:num w:numId="31">
    <w:abstractNumId w:val="23"/>
  </w:num>
  <w:num w:numId="32">
    <w:abstractNumId w:val="32"/>
  </w:num>
  <w:num w:numId="33">
    <w:abstractNumId w:val="2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99"/>
    <w:rsid w:val="00245F99"/>
    <w:rsid w:val="00570C0D"/>
    <w:rsid w:val="005B7518"/>
    <w:rsid w:val="00637CE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8AD9"/>
  <w15:chartTrackingRefBased/>
  <w15:docId w15:val="{F5F28B3E-3E90-48A9-BC3D-EA3ABF0D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70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2">
    <w:name w:val="heading 2"/>
    <w:basedOn w:val="Normal"/>
    <w:link w:val="Heading2Char"/>
    <w:uiPriority w:val="9"/>
    <w:qFormat/>
    <w:rsid w:val="00570C0D"/>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paragraph" w:styleId="Heading3">
    <w:name w:val="heading 3"/>
    <w:basedOn w:val="Normal"/>
    <w:link w:val="Heading3Char"/>
    <w:uiPriority w:val="9"/>
    <w:qFormat/>
    <w:rsid w:val="00570C0D"/>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paragraph" w:styleId="Heading4">
    <w:name w:val="heading 4"/>
    <w:basedOn w:val="Normal"/>
    <w:link w:val="Heading4Char"/>
    <w:uiPriority w:val="9"/>
    <w:qFormat/>
    <w:rsid w:val="00570C0D"/>
    <w:pPr>
      <w:spacing w:before="100" w:beforeAutospacing="1" w:after="100" w:afterAutospacing="1" w:line="240" w:lineRule="auto"/>
      <w:outlineLvl w:val="3"/>
    </w:pPr>
    <w:rPr>
      <w:rFonts w:ascii="Times New Roman" w:eastAsia="Times New Roman" w:hAnsi="Times New Roman" w:cs="Times New Roman"/>
      <w:b/>
      <w:bCs/>
      <w:sz w:val="24"/>
      <w:szCs w:val="24"/>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0D"/>
    <w:rPr>
      <w:rFonts w:ascii="Times New Roman" w:eastAsia="Times New Roman" w:hAnsi="Times New Roman" w:cs="Times New Roman"/>
      <w:b/>
      <w:bCs/>
      <w:kern w:val="36"/>
      <w:sz w:val="48"/>
      <w:szCs w:val="48"/>
      <w:lang w:eastAsia="mk-MK"/>
    </w:rPr>
  </w:style>
  <w:style w:type="character" w:customStyle="1" w:styleId="Heading2Char">
    <w:name w:val="Heading 2 Char"/>
    <w:basedOn w:val="DefaultParagraphFont"/>
    <w:link w:val="Heading2"/>
    <w:uiPriority w:val="9"/>
    <w:rsid w:val="00570C0D"/>
    <w:rPr>
      <w:rFonts w:ascii="Times New Roman" w:eastAsia="Times New Roman" w:hAnsi="Times New Roman" w:cs="Times New Roman"/>
      <w:b/>
      <w:bCs/>
      <w:sz w:val="36"/>
      <w:szCs w:val="36"/>
      <w:lang w:eastAsia="mk-MK"/>
    </w:rPr>
  </w:style>
  <w:style w:type="character" w:customStyle="1" w:styleId="Heading3Char">
    <w:name w:val="Heading 3 Char"/>
    <w:basedOn w:val="DefaultParagraphFont"/>
    <w:link w:val="Heading3"/>
    <w:uiPriority w:val="9"/>
    <w:rsid w:val="00570C0D"/>
    <w:rPr>
      <w:rFonts w:ascii="Times New Roman" w:eastAsia="Times New Roman" w:hAnsi="Times New Roman" w:cs="Times New Roman"/>
      <w:b/>
      <w:bCs/>
      <w:sz w:val="27"/>
      <w:szCs w:val="27"/>
      <w:lang w:eastAsia="mk-MK"/>
    </w:rPr>
  </w:style>
  <w:style w:type="character" w:customStyle="1" w:styleId="Heading4Char">
    <w:name w:val="Heading 4 Char"/>
    <w:basedOn w:val="DefaultParagraphFont"/>
    <w:link w:val="Heading4"/>
    <w:uiPriority w:val="9"/>
    <w:rsid w:val="00570C0D"/>
    <w:rPr>
      <w:rFonts w:ascii="Times New Roman" w:eastAsia="Times New Roman" w:hAnsi="Times New Roman" w:cs="Times New Roman"/>
      <w:b/>
      <w:bCs/>
      <w:sz w:val="24"/>
      <w:szCs w:val="24"/>
      <w:lang w:eastAsia="mk-MK"/>
    </w:rPr>
  </w:style>
  <w:style w:type="character" w:styleId="Hyperlink">
    <w:name w:val="Hyperlink"/>
    <w:basedOn w:val="DefaultParagraphFont"/>
    <w:uiPriority w:val="99"/>
    <w:semiHidden/>
    <w:unhideWhenUsed/>
    <w:rsid w:val="00570C0D"/>
    <w:rPr>
      <w:color w:val="0000FF"/>
      <w:u w:val="single"/>
    </w:rPr>
  </w:style>
  <w:style w:type="paragraph" w:styleId="NormalWeb">
    <w:name w:val="Normal (Web)"/>
    <w:basedOn w:val="Normal"/>
    <w:uiPriority w:val="99"/>
    <w:semiHidden/>
    <w:unhideWhenUsed/>
    <w:rsid w:val="00570C0D"/>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apple-converted-space">
    <w:name w:val="apple-converted-space"/>
    <w:basedOn w:val="DefaultParagraphFont"/>
    <w:rsid w:val="00570C0D"/>
  </w:style>
  <w:style w:type="character" w:customStyle="1" w:styleId="toctoggle">
    <w:name w:val="toctoggle"/>
    <w:basedOn w:val="DefaultParagraphFont"/>
    <w:rsid w:val="00570C0D"/>
  </w:style>
  <w:style w:type="character" w:customStyle="1" w:styleId="tocnumber">
    <w:name w:val="tocnumber"/>
    <w:basedOn w:val="DefaultParagraphFont"/>
    <w:rsid w:val="00570C0D"/>
  </w:style>
  <w:style w:type="character" w:customStyle="1" w:styleId="toctext">
    <w:name w:val="toctext"/>
    <w:basedOn w:val="DefaultParagraphFont"/>
    <w:rsid w:val="00570C0D"/>
  </w:style>
  <w:style w:type="character" w:customStyle="1" w:styleId="mw-headline">
    <w:name w:val="mw-headline"/>
    <w:basedOn w:val="DefaultParagraphFont"/>
    <w:rsid w:val="00570C0D"/>
  </w:style>
  <w:style w:type="character" w:customStyle="1" w:styleId="mw-editsection">
    <w:name w:val="mw-editsection"/>
    <w:basedOn w:val="DefaultParagraphFont"/>
    <w:rsid w:val="00570C0D"/>
  </w:style>
  <w:style w:type="character" w:customStyle="1" w:styleId="mw-editsection-bracket">
    <w:name w:val="mw-editsection-bracket"/>
    <w:basedOn w:val="DefaultParagraphFont"/>
    <w:rsid w:val="00570C0D"/>
  </w:style>
  <w:style w:type="character" w:customStyle="1" w:styleId="mw-editsection-divider">
    <w:name w:val="mw-editsection-divider"/>
    <w:basedOn w:val="DefaultParagraphFont"/>
    <w:rsid w:val="0057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49685">
      <w:bodyDiv w:val="1"/>
      <w:marLeft w:val="0"/>
      <w:marRight w:val="0"/>
      <w:marTop w:val="0"/>
      <w:marBottom w:val="0"/>
      <w:divBdr>
        <w:top w:val="none" w:sz="0" w:space="0" w:color="auto"/>
        <w:left w:val="none" w:sz="0" w:space="0" w:color="auto"/>
        <w:bottom w:val="none" w:sz="0" w:space="0" w:color="auto"/>
        <w:right w:val="none" w:sz="0" w:space="0" w:color="auto"/>
      </w:divBdr>
      <w:divsChild>
        <w:div w:id="383259590">
          <w:marLeft w:val="0"/>
          <w:marRight w:val="0"/>
          <w:marTop w:val="0"/>
          <w:marBottom w:val="0"/>
          <w:divBdr>
            <w:top w:val="none" w:sz="0" w:space="0" w:color="auto"/>
            <w:left w:val="none" w:sz="0" w:space="0" w:color="auto"/>
            <w:bottom w:val="none" w:sz="0" w:space="0" w:color="auto"/>
            <w:right w:val="none" w:sz="0" w:space="0" w:color="auto"/>
          </w:divBdr>
          <w:divsChild>
            <w:div w:id="1853759269">
              <w:marLeft w:val="0"/>
              <w:marRight w:val="0"/>
              <w:marTop w:val="0"/>
              <w:marBottom w:val="0"/>
              <w:divBdr>
                <w:top w:val="none" w:sz="0" w:space="0" w:color="auto"/>
                <w:left w:val="none" w:sz="0" w:space="0" w:color="auto"/>
                <w:bottom w:val="none" w:sz="0" w:space="0" w:color="auto"/>
                <w:right w:val="none" w:sz="0" w:space="0" w:color="auto"/>
              </w:divBdr>
            </w:div>
            <w:div w:id="874931061">
              <w:marLeft w:val="0"/>
              <w:marRight w:val="0"/>
              <w:marTop w:val="0"/>
              <w:marBottom w:val="0"/>
              <w:divBdr>
                <w:top w:val="none" w:sz="0" w:space="0" w:color="auto"/>
                <w:left w:val="none" w:sz="0" w:space="0" w:color="auto"/>
                <w:bottom w:val="none" w:sz="0" w:space="0" w:color="auto"/>
                <w:right w:val="none" w:sz="0" w:space="0" w:color="auto"/>
              </w:divBdr>
              <w:divsChild>
                <w:div w:id="188278519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 w:id="1568107686">
      <w:bodyDiv w:val="1"/>
      <w:marLeft w:val="0"/>
      <w:marRight w:val="0"/>
      <w:marTop w:val="0"/>
      <w:marBottom w:val="0"/>
      <w:divBdr>
        <w:top w:val="none" w:sz="0" w:space="0" w:color="auto"/>
        <w:left w:val="none" w:sz="0" w:space="0" w:color="auto"/>
        <w:bottom w:val="none" w:sz="0" w:space="0" w:color="auto"/>
        <w:right w:val="none" w:sz="0" w:space="0" w:color="auto"/>
      </w:divBdr>
      <w:divsChild>
        <w:div w:id="1928033637">
          <w:marLeft w:val="0"/>
          <w:marRight w:val="0"/>
          <w:marTop w:val="0"/>
          <w:marBottom w:val="0"/>
          <w:divBdr>
            <w:top w:val="none" w:sz="0" w:space="0" w:color="auto"/>
            <w:left w:val="none" w:sz="0" w:space="0" w:color="auto"/>
            <w:bottom w:val="none" w:sz="0" w:space="0" w:color="auto"/>
            <w:right w:val="none" w:sz="0" w:space="0" w:color="auto"/>
          </w:divBdr>
          <w:divsChild>
            <w:div w:id="1743217980">
              <w:marLeft w:val="0"/>
              <w:marRight w:val="0"/>
              <w:marTop w:val="0"/>
              <w:marBottom w:val="0"/>
              <w:divBdr>
                <w:top w:val="none" w:sz="0" w:space="0" w:color="auto"/>
                <w:left w:val="none" w:sz="0" w:space="0" w:color="auto"/>
                <w:bottom w:val="none" w:sz="0" w:space="0" w:color="auto"/>
                <w:right w:val="none" w:sz="0" w:space="0" w:color="auto"/>
              </w:divBdr>
            </w:div>
            <w:div w:id="851339191">
              <w:marLeft w:val="0"/>
              <w:marRight w:val="0"/>
              <w:marTop w:val="0"/>
              <w:marBottom w:val="0"/>
              <w:divBdr>
                <w:top w:val="none" w:sz="0" w:space="0" w:color="auto"/>
                <w:left w:val="none" w:sz="0" w:space="0" w:color="auto"/>
                <w:bottom w:val="none" w:sz="0" w:space="0" w:color="auto"/>
                <w:right w:val="none" w:sz="0" w:space="0" w:color="auto"/>
              </w:divBdr>
              <w:divsChild>
                <w:div w:id="65321909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k.wikipedia.org/wiki/%D0%9F%D0%B0%D0%B7%D0%B0%D1%80_%D0%BD%D0%B0_%D0%BA%D0%B0%D0%BF%D0%B8%D1%82%D0%B0%D0%BB" TargetMode="External"/><Relationship Id="rId18" Type="http://schemas.openxmlformats.org/officeDocument/2006/relationships/hyperlink" Target="https://mk.wikipedia.org/wiki/%D0%9F%D0%B0%D0%B7%D0%B0%D1%80_%D0%BD%D0%B0_%D0%BA%D0%B0%D0%BF%D0%B8%D1%82%D0%B0%D0%BB" TargetMode="External"/><Relationship Id="rId26" Type="http://schemas.openxmlformats.org/officeDocument/2006/relationships/hyperlink" Target="https://mk.wikipedia.org/wiki/%D0%9A%D0%BE%D0%BC%D0%BF%D1%98%D1%83%D1%82%D0%B5%D1%80" TargetMode="External"/><Relationship Id="rId39" Type="http://schemas.openxmlformats.org/officeDocument/2006/relationships/hyperlink" Target="https://mk.wikipedia.org/wiki/%D0%90%D0%BD%D0%B3%D0%BB%D0%B8%D1%81%D0%BA%D0%B8" TargetMode="External"/><Relationship Id="rId21" Type="http://schemas.openxmlformats.org/officeDocument/2006/relationships/hyperlink" Target="https://mk.wikipedia.org/wiki/%D0%9F%D0%B0%D0%B7%D0%B0%D1%80_%D0%BD%D0%B0_%D0%BA%D0%B0%D0%BF%D0%B8%D1%82%D0%B0%D0%BB" TargetMode="External"/><Relationship Id="rId34" Type="http://schemas.openxmlformats.org/officeDocument/2006/relationships/hyperlink" Target="https://mk.wikipedia.org/wiki/%D0%90%D0%BD%D0%B3%D0%BB%D0%B8%D1%81%D0%BA%D0%B8" TargetMode="External"/><Relationship Id="rId42" Type="http://schemas.openxmlformats.org/officeDocument/2006/relationships/hyperlink" Target="https://mk.wikipedia.org/wiki/%D0%90%D0%BD%D0%B3%D0%BB%D0%B8%D1%81%D0%BA%D0%B8" TargetMode="External"/><Relationship Id="rId47" Type="http://schemas.openxmlformats.org/officeDocument/2006/relationships/hyperlink" Target="https://mk.wikipedia.org/wiki/%D0%9F%D0%B0%D0%B7%D0%B0%D1%80_%D0%BD%D0%B0_%D0%BA%D0%B0%D0%BF%D0%B8%D1%82%D0%B0%D0%BB" TargetMode="External"/><Relationship Id="rId50" Type="http://schemas.openxmlformats.org/officeDocument/2006/relationships/hyperlink" Target="https://mk.wikipedia.org/wiki/%D0%90%D0%BA%D1%86%D0%B8%D0%BE%D0%BD%D0%B5%D1%80%D1%81%D0%BA%D0%BE_%D0%B4%D1%80%D1%83%D1%88%D1%82%D0%B2%D0%BE" TargetMode="External"/><Relationship Id="rId55" Type="http://schemas.openxmlformats.org/officeDocument/2006/relationships/hyperlink" Target="https://mk.wikipedia.org/wiki/%D0%9F%D1%80%D0%BE%D1%86%D0%B5%D0%BD%D1%82" TargetMode="External"/><Relationship Id="rId63" Type="http://schemas.openxmlformats.org/officeDocument/2006/relationships/hyperlink" Target="https://mk.wikipedia.org/w/index.php?title=%D0%9D%D0%BE%D0%BC%D0%B8%D0%BD%D0%B0%D0%BB%D0%BD%D0%B0%D1%82%D0%B0_%D0%B2%D1%80%D0%B5%D0%B4%D0%BD%D0%BE%D1%81%D1%82&amp;action=edit&amp;redlink=1" TargetMode="External"/><Relationship Id="rId68" Type="http://schemas.openxmlformats.org/officeDocument/2006/relationships/theme" Target="theme/theme1.xml"/><Relationship Id="rId7" Type="http://schemas.openxmlformats.org/officeDocument/2006/relationships/hyperlink" Target="https://mk.wikipedia.org/wiki/%D0%9F%D0%B0%D0%B7%D0%B0%D1%80_%D0%BD%D0%B0_%D0%BA%D0%B0%D0%BF%D0%B8%D1%82%D0%B0%D0%BB" TargetMode="External"/><Relationship Id="rId2" Type="http://schemas.openxmlformats.org/officeDocument/2006/relationships/styles" Target="styles.xml"/><Relationship Id="rId16" Type="http://schemas.openxmlformats.org/officeDocument/2006/relationships/hyperlink" Target="https://mk.wikipedia.org/wiki/%D0%9F%D0%B0%D0%B7%D0%B0%D1%80_%D0%BD%D0%B0_%D0%BA%D0%B0%D0%BF%D0%B8%D1%82%D0%B0%D0%BB" TargetMode="External"/><Relationship Id="rId29" Type="http://schemas.openxmlformats.org/officeDocument/2006/relationships/hyperlink" Target="https://mk.wikipedia.org/wiki/%D0%9F%D0%B0%D0%B7%D0%B0%D1%80_%D0%BD%D0%B0_%D0%BA%D0%B0%D0%BF%D0%B8%D1%82%D0%B0%D0%BB" TargetMode="External"/><Relationship Id="rId1" Type="http://schemas.openxmlformats.org/officeDocument/2006/relationships/numbering" Target="numbering.xml"/><Relationship Id="rId6" Type="http://schemas.openxmlformats.org/officeDocument/2006/relationships/hyperlink" Target="https://mk.wikipedia.org/wiki/%D0%A5%D0%B0%D1%80%D1%82%D0%B8%D0%B8_%D0%BE%D0%B4_%D0%B2%D1%80%D0%B5%D0%B4%D0%BD%D0%BE%D1%81%D1%82" TargetMode="External"/><Relationship Id="rId11" Type="http://schemas.openxmlformats.org/officeDocument/2006/relationships/hyperlink" Target="https://mk.wikipedia.org/wiki/%D0%90%D0%BA%D1%86%D0%B8%D0%B8" TargetMode="External"/><Relationship Id="rId24" Type="http://schemas.openxmlformats.org/officeDocument/2006/relationships/hyperlink" Target="https://mk.wikipedia.org/w/index.php?title=%D0%9D%D0%90%D0%A1%D0%94%D0%90%D0%9A&amp;action=edit&amp;redlink=1" TargetMode="External"/><Relationship Id="rId32" Type="http://schemas.openxmlformats.org/officeDocument/2006/relationships/hyperlink" Target="https://mk.wikipedia.org/wiki/%D0%9F%D0%B0%D0%B7%D0%B0%D1%80_%D0%BD%D0%B0_%D0%BA%D0%B0%D0%BF%D0%B8%D1%82%D0%B0%D0%BB" TargetMode="External"/><Relationship Id="rId37" Type="http://schemas.openxmlformats.org/officeDocument/2006/relationships/hyperlink" Target="https://mk.wikipedia.org/wiki/%D0%90%D0%BD%D0%B3%D0%BB%D0%B8%D1%81%D0%BA%D0%B8" TargetMode="External"/><Relationship Id="rId40" Type="http://schemas.openxmlformats.org/officeDocument/2006/relationships/hyperlink" Target="https://mk.wikipedia.org/wiki/%D0%90%D0%BD%D0%B3%D0%BB%D0%B8%D1%81%D0%BA%D0%B8" TargetMode="External"/><Relationship Id="rId45" Type="http://schemas.openxmlformats.org/officeDocument/2006/relationships/hyperlink" Target="https://mk.wikipedia.org/wiki/%D0%9F%D1%80%D0%BE%D1%84%D0%B8%D1%82" TargetMode="External"/><Relationship Id="rId53" Type="http://schemas.openxmlformats.org/officeDocument/2006/relationships/hyperlink" Target="https://mk.wikipedia.org/wiki/%D0%94%D0%B8%D0%B2%D0%B8%D0%B4%D0%B5%D0%BD%D0%B4%D0%B0" TargetMode="External"/><Relationship Id="rId58" Type="http://schemas.openxmlformats.org/officeDocument/2006/relationships/hyperlink" Target="https://mk.wikipedia.org/wiki/%D0%9A%D0%B0%D0%BC%D0%B0%D1%82%D0%B0" TargetMode="External"/><Relationship Id="rId66" Type="http://schemas.openxmlformats.org/officeDocument/2006/relationships/hyperlink" Target="https://mk.wikipedia.org/wiki/%D0%98%D0%BD%D1%84%D0%BB%D0%B0%D1%86%D0%B8%D1%98%D0%B0" TargetMode="External"/><Relationship Id="rId5" Type="http://schemas.openxmlformats.org/officeDocument/2006/relationships/hyperlink" Target="https://mk.wikipedia.org/wiki/%D0%90%D0%BD%D0%B3%D0%BB%D0%B8%D1%81%D0%BA%D0%B8_%D1%98%D0%B0%D0%B7%D0%B8%D0%BA" TargetMode="External"/><Relationship Id="rId15" Type="http://schemas.openxmlformats.org/officeDocument/2006/relationships/hyperlink" Target="https://mk.wikipedia.org/wiki/%D0%91%D1%80%D0%BE%D0%BA%D0%B5%D1%80" TargetMode="External"/><Relationship Id="rId23" Type="http://schemas.openxmlformats.org/officeDocument/2006/relationships/hyperlink" Target="https://mk.wikipedia.org/wiki/%D0%9F%D0%B0%D0%B7%D0%B0%D1%80_%D0%BD%D0%B0_%D0%BA%D0%B0%D0%BF%D0%B8%D1%82%D0%B0%D0%BB" TargetMode="External"/><Relationship Id="rId28" Type="http://schemas.openxmlformats.org/officeDocument/2006/relationships/hyperlink" Target="https://mk.wikipedia.org/wiki/%D0%9F%D1%80%D0%B5%D1%82%D0%BF%D1%80%D0%B8%D1%98%D0%B0%D1%82%D0%B8%D1%98%D0%B0" TargetMode="External"/><Relationship Id="rId36" Type="http://schemas.openxmlformats.org/officeDocument/2006/relationships/hyperlink" Target="https://mk.wikipedia.org/wiki/%D0%9F%D0%B0%D0%B7%D0%B0%D1%80_%D0%BD%D0%B0_%D0%BA%D0%B0%D0%BF%D0%B8%D1%82%D0%B0%D0%BB" TargetMode="External"/><Relationship Id="rId49" Type="http://schemas.openxmlformats.org/officeDocument/2006/relationships/hyperlink" Target="https://mk.wikipedia.org/w/index.php?title=%D0%90%D0%BA%D1%86%D0%B8%D0%BE%D0%BD%D0%B5%D1%80%D1%81%D0%BA%D0%B8_%D0%BA%D0%B0%D0%BF%D0%B8%D1%82%D0%B0%D0%BB&amp;action=edit&amp;redlink=1" TargetMode="External"/><Relationship Id="rId57" Type="http://schemas.openxmlformats.org/officeDocument/2006/relationships/hyperlink" Target="https://mk.wikipedia.org/wiki/%D0%9A%D1%80%D0%B5%D0%B4%D0%B8%D1%82" TargetMode="External"/><Relationship Id="rId61" Type="http://schemas.openxmlformats.org/officeDocument/2006/relationships/hyperlink" Target="https://mk.wikipedia.org/wiki/%D0%9E%D0%BF%D1%88%D1%82%D0%B8%D0%BD%D0%B8" TargetMode="External"/><Relationship Id="rId10" Type="http://schemas.openxmlformats.org/officeDocument/2006/relationships/hyperlink" Target="https://mk.wikipedia.org/wiki/%D0%9F%D0%B0%D0%B7%D0%B0%D1%80_%D0%BD%D0%B0_%D0%BA%D0%B0%D0%BF%D0%B8%D1%82%D0%B0%D0%BB" TargetMode="External"/><Relationship Id="rId19" Type="http://schemas.openxmlformats.org/officeDocument/2006/relationships/hyperlink" Target="https://mk.wikipedia.org/wiki/%D0%9F%D0%B0%D0%B7%D0%B0%D1%80_%D0%BD%D0%B0_%D0%BA%D0%B0%D0%BF%D0%B8%D1%82%D0%B0%D0%BB" TargetMode="External"/><Relationship Id="rId31" Type="http://schemas.openxmlformats.org/officeDocument/2006/relationships/hyperlink" Target="https://mk.wikipedia.org/wiki/%D0%A0%D0%B8%D0%B7%D0%B8%D0%BA" TargetMode="External"/><Relationship Id="rId44" Type="http://schemas.openxmlformats.org/officeDocument/2006/relationships/hyperlink" Target="https://mk.wikipedia.org/wiki/%D0%90%D0%BD%D0%B3%D0%BB%D0%B8%D1%81%D0%BA%D0%B8" TargetMode="External"/><Relationship Id="rId52" Type="http://schemas.openxmlformats.org/officeDocument/2006/relationships/hyperlink" Target="https://mk.wikipedia.org/wiki/%D0%9F%D0%B0%D0%B7%D0%B0%D1%80_%D0%BD%D0%B0_%D0%BA%D0%B0%D0%BF%D0%B8%D1%82%D0%B0%D0%BB" TargetMode="External"/><Relationship Id="rId60" Type="http://schemas.openxmlformats.org/officeDocument/2006/relationships/hyperlink" Target="https://mk.wikipedia.org/wiki/%D0%9F%D0%B0%D0%B7%D0%B0%D1%80_%D0%BD%D0%B0_%D0%BA%D0%B0%D0%BF%D0%B8%D1%82%D0%B0%D0%BB" TargetMode="External"/><Relationship Id="rId65" Type="http://schemas.openxmlformats.org/officeDocument/2006/relationships/hyperlink" Target="https://mk.wikipedia.org/wiki/%D0%94%D0%BE%D0%BB%D0%B3%D0%BE%D1%80%D0%BE%D1%87%D0%BD%D0%B8_%D0%BA%D1%80%D0%B5%D0%B4%D0%B8%D1%82%D0%B8" TargetMode="External"/><Relationship Id="rId4" Type="http://schemas.openxmlformats.org/officeDocument/2006/relationships/webSettings" Target="webSettings.xml"/><Relationship Id="rId9" Type="http://schemas.openxmlformats.org/officeDocument/2006/relationships/hyperlink" Target="https://mk.wikipedia.org/wiki/%D0%A1%D1%82%D0%BE%D0%BF%D0%B0%D0%BD%D1%81%D1%82%D0%B2%D0%BE" TargetMode="External"/><Relationship Id="rId14" Type="http://schemas.openxmlformats.org/officeDocument/2006/relationships/hyperlink" Target="https://mk.wikipedia.org/wiki/%D0%91%D0%B5%D1%80%D0%B7%D0%B0" TargetMode="External"/><Relationship Id="rId22" Type="http://schemas.openxmlformats.org/officeDocument/2006/relationships/hyperlink" Target="https://mk.wikipedia.org/wiki/%D0%91%D1%80%D0%BE%D0%BA%D0%B5%D1%80%D1%81%D0%BA%D0%B0_%D0%BA%D1%83%D1%9C%D0%B0" TargetMode="External"/><Relationship Id="rId27" Type="http://schemas.openxmlformats.org/officeDocument/2006/relationships/hyperlink" Target="https://mk.wikipedia.org/wiki/%D0%9F%D0%B0%D0%B7%D0%B0%D1%80_%D0%BD%D0%B0_%D0%BA%D0%B0%D0%BF%D0%B8%D1%82%D0%B0%D0%BB" TargetMode="External"/><Relationship Id="rId30" Type="http://schemas.openxmlformats.org/officeDocument/2006/relationships/hyperlink" Target="https://mk.wikipedia.org/wiki/%D0%A4%D0%B8%D0%BD%D0%B0%D0%BD%D1%81%D0%B8%D1%81%D0%BA%D0%B8_%D0%B8%D0%BD%D1%81%D1%82%D1%80%D1%83%D0%BC%D0%B5%D0%BD%D1%82%D0%B8" TargetMode="External"/><Relationship Id="rId35" Type="http://schemas.openxmlformats.org/officeDocument/2006/relationships/hyperlink" Target="https://mk.wikipedia.org/wiki/%D0%9F%D0%B0%D0%B7%D0%B0%D1%80_%D0%BD%D0%B0_%D0%BA%D0%B0%D0%BF%D0%B8%D1%82%D0%B0%D0%BB" TargetMode="External"/><Relationship Id="rId43" Type="http://schemas.openxmlformats.org/officeDocument/2006/relationships/hyperlink" Target="https://mk.wikipedia.org/wiki/%D0%90%D0%BD%D0%B3%D0%BB%D0%B8%D1%81%D0%BA%D0%B8" TargetMode="External"/><Relationship Id="rId48" Type="http://schemas.openxmlformats.org/officeDocument/2006/relationships/hyperlink" Target="https://mk.wikipedia.org/wiki/%D0%90%D0%BA%D1%86%D0%B8%D0%B8" TargetMode="External"/><Relationship Id="rId56" Type="http://schemas.openxmlformats.org/officeDocument/2006/relationships/hyperlink" Target="https://mk.wikipedia.org/wiki/%D0%9F%D0%B0%D0%B7%D0%B0%D1%80_%D0%BD%D0%B0_%D0%BA%D0%B0%D0%BF%D0%B8%D1%82%D0%B0%D0%BB" TargetMode="External"/><Relationship Id="rId64" Type="http://schemas.openxmlformats.org/officeDocument/2006/relationships/hyperlink" Target="https://mk.wikipedia.org/wiki/%D0%90%D0%BC%D0%BE%D1%80%D1%82%D0%B8%D0%B7%D0%B0%D1%86%D0%B8%D1%98%D0%B0" TargetMode="External"/><Relationship Id="rId8" Type="http://schemas.openxmlformats.org/officeDocument/2006/relationships/hyperlink" Target="https://mk.wikipedia.org/wiki/%D0%91%D0%B0%D0%BD%D0%BA%D0%B8%D1%82%D0%B5" TargetMode="External"/><Relationship Id="rId51" Type="http://schemas.openxmlformats.org/officeDocument/2006/relationships/hyperlink" Target="https://mk.wikipedia.org/wiki/%D0%9F%D0%B0%D0%B7%D0%B0%D1%80_%D0%BD%D0%B0_%D0%BA%D0%B0%D0%BF%D0%B8%D1%82%D0%B0%D0%BB" TargetMode="External"/><Relationship Id="rId3" Type="http://schemas.openxmlformats.org/officeDocument/2006/relationships/settings" Target="settings.xml"/><Relationship Id="rId12" Type="http://schemas.openxmlformats.org/officeDocument/2006/relationships/hyperlink" Target="https://mk.wikipedia.org/wiki/%D0%9A%D0%B0%D0%BF%D0%B8%D1%82%D0%B0%D0%BB" TargetMode="External"/><Relationship Id="rId17" Type="http://schemas.openxmlformats.org/officeDocument/2006/relationships/hyperlink" Target="https://mk.wikipedia.org/wiki/%D0%94%D0%B5%D0%B2%D0%B8%D0%B7%D0%B0" TargetMode="External"/><Relationship Id="rId25" Type="http://schemas.openxmlformats.org/officeDocument/2006/relationships/hyperlink" Target="https://mk.wikipedia.org/wiki/%D0%A1%D0%90%D0%94" TargetMode="External"/><Relationship Id="rId33" Type="http://schemas.openxmlformats.org/officeDocument/2006/relationships/hyperlink" Target="https://mk.wikipedia.org/wiki/%D0%9F%D0%B0%D0%B7%D0%B0%D1%80_%D0%BD%D0%B0_%D0%BA%D0%B0%D0%BF%D0%B8%D1%82%D0%B0%D0%BB" TargetMode="External"/><Relationship Id="rId38" Type="http://schemas.openxmlformats.org/officeDocument/2006/relationships/hyperlink" Target="https://mk.wikipedia.org/wiki/%D0%90%D0%BD%D0%B3%D0%BB%D0%B8%D1%81%D0%BA%D0%B8" TargetMode="External"/><Relationship Id="rId46" Type="http://schemas.openxmlformats.org/officeDocument/2006/relationships/hyperlink" Target="https://mk.wikipedia.org/wiki/%D0%9E%D0%B1%D0%B2%D1%80%D0%B7%D0%BD%D0%B8%D1%86%D0%B0" TargetMode="External"/><Relationship Id="rId59" Type="http://schemas.openxmlformats.org/officeDocument/2006/relationships/hyperlink" Target="https://mk.wikipedia.org/wiki/%D0%94%D0%B8%D1%81%D0%BF%D0%B5%D1%80%D0%B7%D0%B8%D1%98%D0%B0_(%D1%81%D1%82%D0%B0%D1%82%D0%B8%D1%81%D1%82%D0%B8%D0%BA%D0%B0)" TargetMode="External"/><Relationship Id="rId67" Type="http://schemas.openxmlformats.org/officeDocument/2006/relationships/fontTable" Target="fontTable.xml"/><Relationship Id="rId20" Type="http://schemas.openxmlformats.org/officeDocument/2006/relationships/hyperlink" Target="https://mk.wikipedia.org/wiki/%D0%90%D0%BD%D0%B3%D0%BB%D0%B8%D1%81%D0%BA%D0%B8" TargetMode="External"/><Relationship Id="rId41" Type="http://schemas.openxmlformats.org/officeDocument/2006/relationships/hyperlink" Target="https://mk.wikipedia.org/wiki/%D0%90%D0%BD%D0%B3%D0%BB%D0%B8%D1%81%D0%BA%D0%B8" TargetMode="External"/><Relationship Id="rId54" Type="http://schemas.openxmlformats.org/officeDocument/2006/relationships/hyperlink" Target="https://mk.wikipedia.org/wiki/%D0%9F%D1%80%D0%B0%D0%B2%D0%BE" TargetMode="External"/><Relationship Id="rId62" Type="http://schemas.openxmlformats.org/officeDocument/2006/relationships/hyperlink" Target="https://mk.wikipedia.org/wiki/%D0%9F%D0%B0%D0%B7%D0%B0%D1%80_%D0%BD%D0%B0_%D0%BA%D0%B0%D0%BF%D0%B8%D1%82%D0%B0%D0%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3864</Words>
  <Characters>22030</Characters>
  <Application>Microsoft Office Word</Application>
  <DocSecurity>0</DocSecurity>
  <Lines>183</Lines>
  <Paragraphs>51</Paragraphs>
  <ScaleCrop>false</ScaleCrop>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Ирена Биљарска</dc:creator>
  <cp:keywords/>
  <dc:description/>
  <cp:lastModifiedBy>Ирена Биљарска</cp:lastModifiedBy>
  <cp:revision>3</cp:revision>
  <dcterms:created xsi:type="dcterms:W3CDTF">2017-01-21T19:42:00Z</dcterms:created>
  <dcterms:modified xsi:type="dcterms:W3CDTF">2017-01-21T19:47:00Z</dcterms:modified>
</cp:coreProperties>
</file>