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ab/>
        <w:tab/>
        <w:tab/>
        <w:t>ТЗ №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 xml:space="preserve">3. </w:t>
      </w: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Выполнил Василенко Кирилл Павлович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ab/>
        <w:t>Описание сервиса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en-US"/>
          <w14:textFill>
            <w14:solidFill>
              <w14:srgbClr w14:val="333333"/>
            </w14:solidFill>
          </w14:textFill>
        </w:rPr>
        <w:t xml:space="preserve"> Healthy-Kirry-Food.</w:t>
      </w: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 xml:space="preserve"> Доставка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 xml:space="preserve">; </w:t>
      </w: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рецепты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 xml:space="preserve">; </w:t>
      </w: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рационы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 xml:space="preserve">; </w:t>
      </w: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лента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ab/>
        <w:t>В нашем сервисе можно заказывать любую еду из ресторанов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более того мы предлагаем готовые рационы на заказ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Рядом с каждым блюдом мы указываем его энергетическую ценность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/</w:t>
      </w: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КБЖУ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en-US"/>
          <w14:textFill>
            <w14:solidFill>
              <w14:srgbClr w14:val="333333"/>
            </w14:solidFill>
          </w14:textFill>
        </w:rPr>
        <w:t>[</w:t>
      </w: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калории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белки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жиры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углеводы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en-US"/>
          <w14:textFill>
            <w14:solidFill>
              <w14:srgbClr w14:val="333333"/>
            </w14:solidFill>
          </w14:textFill>
        </w:rPr>
        <w:t>]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(</w:t>
      </w: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эту возможность можно отключить в настройках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 xml:space="preserve">).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ab/>
        <w:t>Это позволит нашим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следящим за фигурой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/</w:t>
      </w: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здоровьем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/</w:t>
      </w: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калоражем проще отслеживать ко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2759095</wp:posOffset>
            </wp:positionH>
            <wp:positionV relativeFrom="page">
              <wp:posOffset>6531229</wp:posOffset>
            </wp:positionV>
            <wp:extent cx="4572000" cy="3793242"/>
            <wp:effectExtent l="0" t="0" r="0" b="0"/>
            <wp:wrapSquare wrapText="bothSides" distL="152400" distR="152400"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4"/>
              </a:graphicData>
            </a:graphic>
          </wp:anchor>
        </w:drawing>
      </w: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личество потребленной пищи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 xml:space="preserve">. </w:t>
        <w:tab/>
      </w: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После заказа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у пользователя будет возможность выставить в общую ленту новостей фото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-</w:t>
      </w: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отзыв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с возможностью обсуждения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Лента подбирается индивидуально на основе персональных предпочтений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 xml:space="preserve">.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ab/>
        <w:t>Более того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пользователи могут поделиться своими личными рецептами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(</w:t>
      </w: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продукты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условно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заказанные с помощью нашего сервиса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 xml:space="preserve">) </w:t>
      </w: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с другими пользователями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с возможностью комментирования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лайками и прочим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  <w:tab/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Варианты использования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Рассмотрим пример последовательности заказа доставки рационов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:</w:t>
      </w:r>
      <w:r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  <w:drawing xmlns:a="http://schemas.openxmlformats.org/drawingml/2006/main">
          <wp:anchor distT="0" distB="0" distL="152400" distR="152400" simplePos="0" relativeHeight="251660288" behindDoc="0" locked="0" layoutInCell="1" allowOverlap="1">
            <wp:simplePos x="0" y="0"/>
            <wp:positionH relativeFrom="margin">
              <wp:posOffset>319368</wp:posOffset>
            </wp:positionH>
            <wp:positionV relativeFrom="line">
              <wp:posOffset>1250848</wp:posOffset>
            </wp:positionV>
            <wp:extent cx="4572000" cy="4178199"/>
            <wp:effectExtent l="0" t="0" r="0" b="0"/>
            <wp:wrapSquare wrapText="bothSides" distL="152400" distR="152400" distT="0" distB="0"/>
            <wp:docPr id="1073741826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5"/>
              </a:graphicData>
            </a:graphic>
          </wp:anchor>
        </w:drawing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Построим диаграмму для статуса заказов для заказа еды из ресторанов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Предположим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он уже выбрал ресторан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оценил примерное время доставки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и оплатил заказ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Следующие статусы его ожидают</w:t>
      </w:r>
      <w:r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  <w:drawing xmlns:a="http://schemas.openxmlformats.org/drawingml/2006/main">
          <wp:anchor distT="0" distB="0" distL="152400" distR="152400" simplePos="0" relativeHeight="251661312" behindDoc="0" locked="0" layoutInCell="1" allowOverlap="1">
            <wp:simplePos x="0" y="0"/>
            <wp:positionH relativeFrom="margin">
              <wp:posOffset>2526791</wp:posOffset>
            </wp:positionH>
            <wp:positionV relativeFrom="line">
              <wp:posOffset>587176</wp:posOffset>
            </wp:positionV>
            <wp:extent cx="5854192" cy="3630097"/>
            <wp:effectExtent l="0" t="0" r="0" b="0"/>
            <wp:wrapTopAndBottom distT="0" distB="0"/>
            <wp:docPr id="1073741827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6"/>
              </a:graphicData>
            </a:graphic>
          </wp:anchor>
        </w:drawing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Представим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что нам необходимости понять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какие процессы будут происходить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для того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чтобы обработать наш заказ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По доставке блюд из ресторана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  <w:drawing xmlns:a="http://schemas.openxmlformats.org/drawingml/2006/main">
          <wp:anchor distT="0" distB="0" distL="152400" distR="152400" simplePos="0" relativeHeight="251662336" behindDoc="0" locked="0" layoutInCell="1" allowOverlap="1">
            <wp:simplePos x="0" y="0"/>
            <wp:positionH relativeFrom="margin">
              <wp:posOffset>1392416</wp:posOffset>
            </wp:positionH>
            <wp:positionV relativeFrom="line">
              <wp:posOffset>1617776</wp:posOffset>
            </wp:positionV>
            <wp:extent cx="5930900" cy="4555014"/>
            <wp:effectExtent l="0" t="0" r="0" b="0"/>
            <wp:wrapTopAndBottom distT="0" distB="0"/>
            <wp:docPr id="1073741828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anchor>
        </w:drawing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А теперь распишем все необходимые методы для работы нашего приложения</w:t>
      </w:r>
      <w:r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  <w:drawing xmlns:a="http://schemas.openxmlformats.org/drawingml/2006/main">
          <wp:anchor distT="0" distB="0" distL="152400" distR="152400" simplePos="0" relativeHeight="251663360" behindDoc="0" locked="0" layoutInCell="1" allowOverlap="1">
            <wp:simplePos x="0" y="0"/>
            <wp:positionH relativeFrom="margin">
              <wp:posOffset>1110577</wp:posOffset>
            </wp:positionH>
            <wp:positionV relativeFrom="line">
              <wp:posOffset>1971191</wp:posOffset>
            </wp:positionV>
            <wp:extent cx="9817100" cy="5536185"/>
            <wp:effectExtent l="0" t="0" r="0" b="0"/>
            <wp:wrapSquare wrapText="bothSides" distL="152400" distR="152400" distT="0" distB="0"/>
            <wp:docPr id="1073741829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anchor>
        </w:drawing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*</w:t>
      </w:r>
      <w:r>
        <w:rPr>
          <w:rFonts w:ascii="Arial" w:hAnsi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  <w:t>(</w:t>
      </w: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лайки</w:t>
      </w:r>
      <w:r>
        <w:rPr>
          <w:rFonts w:ascii="Arial" w:hAnsi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комментарии</w:t>
      </w:r>
      <w:r>
        <w:rPr>
          <w:rFonts w:ascii="Arial" w:hAnsi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предпочтение самого пользователя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pt-PT"/>
          <w14:textFill>
            <w14:solidFill>
              <w14:srgbClr w14:val="333333"/>
            </w14:solidFill>
          </w14:textFill>
        </w:rPr>
        <w:t>[</w:t>
      </w:r>
      <w:r>
        <w:rPr>
          <w:rFonts w:ascii="Arial" w:hAnsi="Arial" w:hint="default"/>
          <w:outline w:val="0"/>
          <w:color w:val="333333"/>
          <w:sz w:val="32"/>
          <w:szCs w:val="32"/>
          <w:rtl w:val="0"/>
          <w:lang w:val="ru-RU"/>
          <w14:textFill>
            <w14:solidFill>
              <w14:srgbClr w14:val="333333"/>
            </w14:solidFill>
          </w14:textFill>
        </w:rPr>
        <w:t>сопоставление интересов пользователя с тегами постов</w:t>
      </w:r>
      <w:r>
        <w:rPr>
          <w:rFonts w:ascii="Arial" w:hAnsi="Arial"/>
          <w:outline w:val="0"/>
          <w:color w:val="333333"/>
          <w:sz w:val="32"/>
          <w:szCs w:val="32"/>
          <w:rtl w:val="0"/>
          <w:lang w:val="pt-PT"/>
          <w14:textFill>
            <w14:solidFill>
              <w14:srgbClr w14:val="333333"/>
            </w14:solidFill>
          </w14:textFill>
        </w:rPr>
        <w:t>])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outline w:val="0"/>
          <w:color w:val="333333"/>
          <w:sz w:val="32"/>
          <w:szCs w:val="32"/>
          <w:rtl w:val="0"/>
          <w14:textFill>
            <w14:solidFill>
              <w14:srgbClr w14:val="333333"/>
            </w14:solidFill>
          </w14:textFill>
        </w:rPr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_rels/chart2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2.xlsx"/></Relationships>

</file>

<file path=word/charts/_rels/chart3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3.xlsx"/></Relationships>

</file>

<file path=word/charts/_rels/chart4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4.xlsx"/></Relationships>

</file>

<file path=word/charts/_rels/chart5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5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138921"/>
          <c:y val="0.129582"/>
          <c:w val="0.722158"/>
          <c:h val="0.857918"/>
        </c:manualLayout>
      </c:layout>
      <c:pieChart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Использование</c:v>
                </c:pt>
              </c:strCache>
            </c:strRef>
          </c:tx>
          <c:spPr>
            <a:solidFill>
              <a:schemeClr val="accent1"/>
            </a:solidFill>
            <a:ln w="12700" cap="flat">
              <a:noFill/>
              <a:miter lim="400000"/>
            </a:ln>
            <a:effectLst/>
          </c:spPr>
          <c:explosion val="0"/>
          <c:dPt>
            <c:idx val="0"/>
            <c:explosion val="0"/>
            <c:spPr>
              <a:solidFill>
                <a:schemeClr val="accent1"/>
              </a:solidFill>
              <a:ln w="12700" cap="flat">
                <a:noFill/>
                <a:miter lim="400000"/>
              </a:ln>
              <a:effectLst/>
            </c:spPr>
          </c:dPt>
          <c:dPt>
            <c:idx val="1"/>
            <c:explosion val="0"/>
            <c:spPr>
              <a:solidFill>
                <a:schemeClr val="accent3"/>
              </a:solidFill>
              <a:ln w="12700" cap="flat">
                <a:noFill/>
                <a:miter lim="400000"/>
              </a:ln>
              <a:effectLst/>
            </c:spPr>
          </c:dPt>
          <c:dPt>
            <c:idx val="2"/>
            <c:explosion val="0"/>
            <c:spPr>
              <a:solidFill>
                <a:srgbClr val="929292"/>
              </a:solidFill>
              <a:ln w="12700" cap="flat">
                <a:noFill/>
                <a:miter lim="400000"/>
              </a:ln>
              <a:effectLst/>
            </c:spPr>
          </c:dPt>
          <c:dPt>
            <c:idx val="3"/>
            <c:explosion val="0"/>
            <c:spPr>
              <a:solidFill>
                <a:srgbClr val="F8BA00"/>
              </a:solidFill>
              <a:ln w="12700" cap="flat">
                <a:noFill/>
                <a:miter lim="400000"/>
              </a:ln>
              <a:effectLst/>
            </c:spPr>
          </c:dPt>
          <c:dPt>
            <c:idx val="4"/>
            <c:explosion val="0"/>
            <c:spPr>
              <a:solidFill>
                <a:srgbClr val="FF2600"/>
              </a:solidFill>
              <a:ln w="12700" cap="flat">
                <a:noFill/>
                <a:miter lim="400000"/>
              </a:ln>
              <a:effectLst/>
            </c:spPr>
          </c:dPt>
          <c:dLbls>
            <c:dLbl>
              <c:idx val="0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 Neue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 Neue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2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 Neue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3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 Neue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4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 Neue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numFmt formatCode="#,##0%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FFFFFF"/>
                    </a:solidFill>
                    <a:latin typeface="Helvetica Neue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noFill/>
                <a:ln w="6350" cap="flat">
                  <a:solidFill>
                    <a:srgbClr val="000000"/>
                  </a:solidFill>
                  <a:prstDash val="solid"/>
                  <a:miter lim="400000"/>
                </a:ln>
                <a:effectLst/>
              </c:spPr>
            </c:leaderLines>
          </c:dLbls>
          <c:cat>
            <c:strRef>
              <c:f>Sheet1!$B$1:$F$1</c:f>
              <c:strCache>
                <c:ptCount val="5"/>
                <c:pt idx="0">
                  <c:v>Доставка из ресторанов</c:v>
                </c:pt>
                <c:pt idx="1">
                  <c:v>Доставка рационов</c:v>
                </c:pt>
                <c:pt idx="2">
                  <c:v>Доставка продуктов</c:v>
                </c:pt>
                <c:pt idx="3">
                  <c:v>Составление рациона</c:v>
                </c:pt>
                <c:pt idx="4">
                  <c:v>Лента - общение</c:v>
                </c:pt>
              </c:strCache>
            </c:strRef>
          </c:cat>
          <c:val>
            <c:numRef>
              <c:f>Sheet1!$B$2:$F$2</c:f>
              <c:numCache>
                <c:ptCount val="5"/>
                <c:pt idx="0">
                  <c:v>91.000000</c:v>
                </c:pt>
                <c:pt idx="1">
                  <c:v>76.000000</c:v>
                </c:pt>
                <c:pt idx="2">
                  <c:v>28.000000</c:v>
                </c:pt>
                <c:pt idx="3">
                  <c:v>26.000000</c:v>
                </c:pt>
                <c:pt idx="4">
                  <c:v>21.000000</c:v>
                </c:pt>
              </c:numCache>
            </c:numRef>
          </c:val>
        </c:ser>
        <c:firstSliceAng val="0"/>
      </c:pieChart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"/>
          <c:y val="0"/>
          <c:w val="1"/>
          <c:h val="0.142718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Helvetica Neue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136111"/>
          <c:y val="0.203628"/>
          <c:w val="0.727778"/>
          <c:h val="0.783872"/>
        </c:manualLayout>
      </c:layout>
      <c:pieChart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перцентиль</c:v>
                </c:pt>
              </c:strCache>
            </c:strRef>
          </c:tx>
          <c:spPr>
            <a:solidFill>
              <a:schemeClr val="accent1"/>
            </a:solidFill>
            <a:ln w="12700" cap="flat">
              <a:noFill/>
              <a:miter lim="400000"/>
            </a:ln>
            <a:effectLst/>
          </c:spPr>
          <c:explosion val="0"/>
          <c:dPt>
            <c:idx val="0"/>
            <c:explosion val="0"/>
            <c:spPr>
              <a:solidFill>
                <a:schemeClr val="accent1"/>
              </a:solidFill>
              <a:ln w="12700" cap="flat">
                <a:noFill/>
                <a:miter lim="400000"/>
              </a:ln>
              <a:effectLst/>
            </c:spPr>
          </c:dPt>
          <c:dPt>
            <c:idx val="1"/>
            <c:explosion val="0"/>
            <c:spPr>
              <a:solidFill>
                <a:schemeClr val="accent3"/>
              </a:solidFill>
              <a:ln w="12700" cap="flat">
                <a:noFill/>
                <a:miter lim="400000"/>
              </a:ln>
              <a:effectLst/>
            </c:spPr>
          </c:dPt>
          <c:dPt>
            <c:idx val="2"/>
            <c:explosion val="0"/>
            <c:spPr>
              <a:solidFill>
                <a:srgbClr val="929292"/>
              </a:solidFill>
              <a:ln w="12700" cap="flat">
                <a:noFill/>
                <a:miter lim="400000"/>
              </a:ln>
              <a:effectLst/>
            </c:spPr>
          </c:dPt>
          <c:dPt>
            <c:idx val="3"/>
            <c:explosion val="0"/>
            <c:spPr>
              <a:solidFill>
                <a:srgbClr val="F8BA00"/>
              </a:solidFill>
              <a:ln w="12700" cap="flat">
                <a:noFill/>
                <a:miter lim="400000"/>
              </a:ln>
              <a:effectLst/>
            </c:spPr>
          </c:dPt>
          <c:dPt>
            <c:idx val="4"/>
            <c:explosion val="0"/>
            <c:spPr>
              <a:solidFill>
                <a:srgbClr val="FF2600"/>
              </a:solidFill>
              <a:ln w="12700" cap="flat">
                <a:noFill/>
                <a:miter lim="400000"/>
              </a:ln>
              <a:effectLst/>
            </c:spPr>
          </c:dPt>
          <c:dLbls>
            <c:dLbl>
              <c:idx val="0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 Neue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 Neue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2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 Neue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3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 Neue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4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 Neue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numFmt formatCode="#,##0%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FFFFFF"/>
                    </a:solidFill>
                    <a:latin typeface="Helvetica Neue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noFill/>
                <a:ln w="6350" cap="flat">
                  <a:solidFill>
                    <a:srgbClr val="000000"/>
                  </a:solidFill>
                  <a:prstDash val="solid"/>
                  <a:miter lim="400000"/>
                </a:ln>
                <a:effectLst/>
              </c:spPr>
            </c:leaderLines>
          </c:dLbls>
          <c:cat>
            <c:strRef>
              <c:f>Sheet1!$B$1:$F$1</c:f>
              <c:strCache>
                <c:ptCount val="5"/>
                <c:pt idx="0">
                  <c:v>Определение целей  рациона</c:v>
                </c:pt>
                <c:pt idx="1">
                  <c:v>Определение количества дней, насколько необходим рацион</c:v>
                </c:pt>
                <c:pt idx="2">
                  <c:v>Согласование блюд</c:v>
                </c:pt>
                <c:pt idx="3">
                  <c:v>Обговаривание сроков регулярной доставки</c:v>
                </c:pt>
                <c:pt idx="4">
                  <c:v>Регулярное получение в обговоренные временные рамки</c:v>
                </c:pt>
              </c:strCache>
            </c:strRef>
          </c:cat>
          <c:val>
            <c:numRef>
              <c:f>Sheet1!$B$2:$F$2</c:f>
              <c:numCache>
                <c:ptCount val="5"/>
                <c:pt idx="0">
                  <c:v>20.000000</c:v>
                </c:pt>
                <c:pt idx="1">
                  <c:v>20.000000</c:v>
                </c:pt>
                <c:pt idx="2">
                  <c:v>20.000000</c:v>
                </c:pt>
                <c:pt idx="3">
                  <c:v>20.000000</c:v>
                </c:pt>
                <c:pt idx="4">
                  <c:v>20.000000</c:v>
                </c:pt>
              </c:numCache>
            </c:numRef>
          </c:val>
        </c:ser>
        <c:firstSliceAng val="0"/>
      </c:pieChart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"/>
          <c:y val="0"/>
          <c:w val="1"/>
          <c:h val="0.2031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Helvetica Neue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431621"/>
          <c:y val="0.0833853"/>
          <c:w val="0.563379"/>
          <c:h val="0.904115"/>
        </c:manualLayout>
      </c:layout>
      <c:pieChart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Значение</c:v>
                </c:pt>
              </c:strCache>
            </c:strRef>
          </c:tx>
          <c:spPr>
            <a:solidFill>
              <a:schemeClr val="accent1"/>
            </a:solidFill>
            <a:ln w="12700" cap="flat">
              <a:noFill/>
              <a:miter lim="400000"/>
            </a:ln>
            <a:effectLst/>
          </c:spPr>
          <c:explosion val="0"/>
          <c:dPt>
            <c:idx val="0"/>
            <c:explosion val="0"/>
            <c:spPr>
              <a:solidFill>
                <a:schemeClr val="accent1"/>
              </a:solidFill>
              <a:ln w="12700" cap="flat">
                <a:noFill/>
                <a:miter lim="400000"/>
              </a:ln>
              <a:effectLst/>
            </c:spPr>
          </c:dPt>
          <c:dPt>
            <c:idx val="1"/>
            <c:explosion val="0"/>
            <c:spPr>
              <a:solidFill>
                <a:schemeClr val="accent3"/>
              </a:solidFill>
              <a:ln w="12700" cap="flat">
                <a:noFill/>
                <a:miter lim="400000"/>
              </a:ln>
              <a:effectLst/>
            </c:spPr>
          </c:dPt>
          <c:dPt>
            <c:idx val="2"/>
            <c:explosion val="0"/>
            <c:spPr>
              <a:solidFill>
                <a:srgbClr val="929292"/>
              </a:solidFill>
              <a:ln w="12700" cap="flat">
                <a:noFill/>
                <a:miter lim="400000"/>
              </a:ln>
              <a:effectLst/>
            </c:spPr>
          </c:dPt>
          <c:dPt>
            <c:idx val="3"/>
            <c:explosion val="0"/>
            <c:spPr>
              <a:solidFill>
                <a:srgbClr val="F8BA00"/>
              </a:solidFill>
              <a:ln w="12700" cap="flat">
                <a:noFill/>
                <a:miter lim="400000"/>
              </a:ln>
              <a:effectLst/>
            </c:spPr>
          </c:dPt>
          <c:dPt>
            <c:idx val="4"/>
            <c:explosion val="0"/>
            <c:spPr>
              <a:solidFill>
                <a:srgbClr val="FF2600"/>
              </a:solidFill>
              <a:ln w="12700" cap="flat">
                <a:noFill/>
                <a:miter lim="400000"/>
              </a:ln>
              <a:effectLst/>
            </c:spPr>
          </c:dPt>
          <c:dLbls>
            <c:dLbl>
              <c:idx val="0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 Neue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 Neue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2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 Neue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3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 Neue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4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 Neue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numFmt formatCode="#,##0%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FFFFFF"/>
                    </a:solidFill>
                    <a:latin typeface="Helvetica Neue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noFill/>
                <a:ln w="6350" cap="flat">
                  <a:solidFill>
                    <a:srgbClr val="000000"/>
                  </a:solidFill>
                  <a:prstDash val="solid"/>
                  <a:miter lim="400000"/>
                </a:ln>
                <a:effectLst/>
              </c:spPr>
            </c:leaderLines>
          </c:dLbls>
          <c:cat>
            <c:strRef>
              <c:f>Sheet1!$B$1:$F$1</c:f>
              <c:strCache>
                <c:ptCount val="5"/>
                <c:pt idx="0">
                  <c:v>Заказ ожидает подтверждения в ресторане</c:v>
                </c:pt>
                <c:pt idx="1">
                  <c:v>Повара начали готовить его</c:v>
                </c:pt>
                <c:pt idx="2">
                  <c:v>Еда приготовилась, ожидание курьера.</c:v>
                </c:pt>
                <c:pt idx="3">
                  <c:v>Заказ у курьера</c:v>
                </c:pt>
                <c:pt idx="4">
                  <c:v>Доставка заказа</c:v>
                </c:pt>
              </c:strCache>
            </c:strRef>
          </c:cat>
          <c:val>
            <c:numRef>
              <c:f>Sheet1!$B$2:$F$2</c:f>
              <c:numCache>
                <c:ptCount val="5"/>
                <c:pt idx="0">
                  <c:v>1.000000</c:v>
                </c:pt>
                <c:pt idx="1">
                  <c:v>1.000000</c:v>
                </c:pt>
                <c:pt idx="2">
                  <c:v>1.000000</c:v>
                </c:pt>
                <c:pt idx="3">
                  <c:v>1.000000</c:v>
                </c:pt>
                <c:pt idx="4">
                  <c:v>1.000000</c:v>
                </c:pt>
              </c:numCache>
            </c:numRef>
          </c:val>
        </c:ser>
        <c:firstSliceAng val="0"/>
      </c:pieChart>
      <c:spPr>
        <a:noFill/>
        <a:ln w="12700" cap="flat">
          <a:noFill/>
          <a:miter lim="400000"/>
        </a:ln>
        <a:effectLst/>
      </c:spPr>
    </c:plotArea>
    <c:legend>
      <c:legendPos val="r"/>
      <c:layout>
        <c:manualLayout>
          <c:xMode val="edge"/>
          <c:yMode val="edge"/>
          <c:x val="0"/>
          <c:y val="0"/>
          <c:w val="0.780979"/>
          <c:h val="0.230014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Helvetica Neue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234773"/>
          <c:y val="0.267791"/>
          <c:w val="0.562347"/>
          <c:h val="0.719709"/>
        </c:manualLayout>
      </c:layout>
      <c:pieChart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Регион 1</c:v>
                </c:pt>
              </c:strCache>
            </c:strRef>
          </c:tx>
          <c:spPr>
            <a:solidFill>
              <a:schemeClr val="accent1"/>
            </a:solidFill>
            <a:ln w="12700" cap="flat">
              <a:noFill/>
              <a:miter lim="400000"/>
            </a:ln>
            <a:effectLst/>
          </c:spPr>
          <c:explosion val="0"/>
          <c:dPt>
            <c:idx val="0"/>
            <c:explosion val="0"/>
            <c:spPr>
              <a:solidFill>
                <a:schemeClr val="accent1"/>
              </a:solidFill>
              <a:ln w="12700" cap="flat">
                <a:noFill/>
                <a:miter lim="400000"/>
              </a:ln>
              <a:effectLst/>
            </c:spPr>
          </c:dPt>
          <c:dPt>
            <c:idx val="1"/>
            <c:explosion val="0"/>
            <c:spPr>
              <a:solidFill>
                <a:schemeClr val="accent3"/>
              </a:solidFill>
              <a:ln w="12700" cap="flat">
                <a:noFill/>
                <a:miter lim="400000"/>
              </a:ln>
              <a:effectLst/>
            </c:spPr>
          </c:dPt>
          <c:dPt>
            <c:idx val="2"/>
            <c:explosion val="0"/>
            <c:spPr>
              <a:solidFill>
                <a:srgbClr val="929292"/>
              </a:solidFill>
              <a:ln w="12700" cap="flat">
                <a:noFill/>
                <a:miter lim="400000"/>
              </a:ln>
              <a:effectLst/>
            </c:spPr>
          </c:dPt>
          <c:dPt>
            <c:idx val="3"/>
            <c:explosion val="0"/>
            <c:spPr>
              <a:solidFill>
                <a:srgbClr val="F8BA00"/>
              </a:solidFill>
              <a:ln w="12700" cap="flat">
                <a:noFill/>
                <a:miter lim="400000"/>
              </a:ln>
              <a:effectLst/>
            </c:spPr>
          </c:dPt>
          <c:dPt>
            <c:idx val="4"/>
            <c:explosion val="0"/>
            <c:spPr>
              <a:solidFill>
                <a:srgbClr val="FF2600"/>
              </a:solidFill>
              <a:ln w="12700" cap="flat">
                <a:noFill/>
                <a:miter lim="400000"/>
              </a:ln>
              <a:effectLst/>
            </c:spPr>
          </c:dPt>
          <c:dPt>
            <c:idx val="5"/>
            <c:explosion val="0"/>
            <c:spPr>
              <a:solidFill>
                <a:schemeClr val="accent6">
                  <a:satOff val="-20754"/>
                  <a:lumOff val="-16738"/>
                </a:schemeClr>
              </a:solidFill>
              <a:ln w="12700" cap="flat">
                <a:noFill/>
                <a:miter lim="400000"/>
              </a:ln>
              <a:effectLst/>
            </c:spPr>
          </c:dPt>
          <c:dLbls>
            <c:dLbl>
              <c:idx val="0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 Neue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 Neue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2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 Neue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3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 Neue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4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 Neue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5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 Neue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numFmt formatCode="#,##0%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FFFFFF"/>
                    </a:solidFill>
                    <a:latin typeface="Helvetica Neue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noFill/>
                <a:ln w="6350" cap="flat">
                  <a:solidFill>
                    <a:srgbClr val="000000"/>
                  </a:solidFill>
                  <a:prstDash val="solid"/>
                  <a:miter lim="400000"/>
                </a:ln>
                <a:effectLst/>
              </c:spPr>
            </c:leaderLines>
          </c:dLbls>
          <c:cat>
            <c:strRef>
              <c:f>Sheet1!$B$1:$G$1</c:f>
              <c:strCache>
                <c:ptCount val="6"/>
                <c:pt idx="0">
                  <c:v>Предварительная оценка доставки(возможность/невозможность доставки, время доставки)</c:v>
                </c:pt>
                <c:pt idx="1">
                  <c:v>Получение заказа системой</c:v>
                </c:pt>
                <c:pt idx="2">
                  <c:v>Передача заказа ресторану</c:v>
                </c:pt>
                <c:pt idx="3">
                  <c:v>Поиск курьера с учетом его предпочтений по работе в определенных районах</c:v>
                </c:pt>
                <c:pt idx="4">
                  <c:v>Доставка блюд клиенту</c:v>
                </c:pt>
                <c:pt idx="5">
                  <c:v>Обработка фидбека пользователя  для дальнейший улучшений системы</c:v>
                </c:pt>
              </c:strCache>
            </c:strRef>
          </c:cat>
          <c:val>
            <c:numRef>
              <c:f>Sheet1!$B$2:$G$2</c:f>
              <c:numCache>
                <c:ptCount val="6"/>
                <c:pt idx="0">
                  <c:v>1.000000</c:v>
                </c:pt>
                <c:pt idx="1">
                  <c:v>1.000000</c:v>
                </c:pt>
                <c:pt idx="2">
                  <c:v>1.000000</c:v>
                </c:pt>
                <c:pt idx="3">
                  <c:v>1.000000</c:v>
                </c:pt>
                <c:pt idx="4">
                  <c:v>1.000000</c:v>
                </c:pt>
                <c:pt idx="5">
                  <c:v>1.000000</c:v>
                </c:pt>
              </c:numCache>
            </c:numRef>
          </c:val>
        </c:ser>
        <c:firstSliceAng val="0"/>
      </c:pieChart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"/>
          <c:y val="0"/>
          <c:w val="1"/>
          <c:h val="0.22106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Helvetica Neue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29145"/>
          <c:y val="0.29916"/>
          <c:w val="0.393299"/>
          <c:h val="0.684921"/>
        </c:manualLayout>
      </c:layout>
      <c:pieChart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Регион 1</c:v>
                </c:pt>
              </c:strCache>
            </c:strRef>
          </c:tx>
          <c:spPr>
            <a:solidFill>
              <a:schemeClr val="accent1"/>
            </a:solidFill>
            <a:ln w="12700" cap="flat">
              <a:noFill/>
              <a:miter lim="400000"/>
            </a:ln>
            <a:effectLst/>
          </c:spPr>
          <c:explosion val="0"/>
          <c:dPt>
            <c:idx val="0"/>
            <c:explosion val="0"/>
            <c:spPr>
              <a:solidFill>
                <a:schemeClr val="accent1"/>
              </a:solidFill>
              <a:ln w="12700" cap="flat">
                <a:noFill/>
                <a:miter lim="400000"/>
              </a:ln>
              <a:effectLst/>
            </c:spPr>
          </c:dPt>
          <c:dPt>
            <c:idx val="1"/>
            <c:explosion val="0"/>
            <c:spPr>
              <a:solidFill>
                <a:schemeClr val="accent3"/>
              </a:solidFill>
              <a:ln w="12700" cap="flat">
                <a:noFill/>
                <a:miter lim="400000"/>
              </a:ln>
              <a:effectLst/>
            </c:spPr>
          </c:dPt>
          <c:dPt>
            <c:idx val="2"/>
            <c:explosion val="0"/>
            <c:spPr>
              <a:solidFill>
                <a:srgbClr val="929292"/>
              </a:solidFill>
              <a:ln w="12700" cap="flat">
                <a:noFill/>
                <a:miter lim="400000"/>
              </a:ln>
              <a:effectLst/>
            </c:spPr>
          </c:dPt>
          <c:dPt>
            <c:idx val="3"/>
            <c:explosion val="0"/>
            <c:spPr>
              <a:solidFill>
                <a:srgbClr val="F8BA00"/>
              </a:solidFill>
              <a:ln w="12700" cap="flat">
                <a:noFill/>
                <a:miter lim="400000"/>
              </a:ln>
              <a:effectLst/>
            </c:spPr>
          </c:dPt>
          <c:dPt>
            <c:idx val="4"/>
            <c:explosion val="0"/>
            <c:spPr>
              <a:solidFill>
                <a:srgbClr val="FF2600"/>
              </a:solidFill>
              <a:ln w="12700" cap="flat">
                <a:noFill/>
                <a:miter lim="400000"/>
              </a:ln>
              <a:effectLst/>
            </c:spPr>
          </c:dPt>
          <c:dPt>
            <c:idx val="5"/>
            <c:explosion val="0"/>
            <c:spPr>
              <a:solidFill>
                <a:schemeClr val="accent6">
                  <a:satOff val="-20754"/>
                  <a:lumOff val="-16738"/>
                </a:schemeClr>
              </a:solidFill>
              <a:ln w="12700" cap="flat">
                <a:noFill/>
                <a:miter lim="400000"/>
              </a:ln>
              <a:effectLst/>
            </c:spPr>
          </c:dPt>
          <c:dPt>
            <c:idx val="6"/>
            <c:explosion val="0"/>
            <c:spPr>
              <a:solidFill>
                <a:srgbClr val="22AEFF"/>
              </a:solidFill>
              <a:ln w="12700" cap="flat">
                <a:noFill/>
                <a:miter lim="400000"/>
              </a:ln>
              <a:effectLst/>
            </c:spPr>
          </c:dPt>
          <c:dPt>
            <c:idx val="7"/>
            <c:explosion val="0"/>
            <c:spPr>
              <a:solidFill>
                <a:srgbClr val="73DD4E"/>
              </a:solidFill>
              <a:ln w="12700" cap="flat">
                <a:noFill/>
                <a:miter lim="400000"/>
              </a:ln>
              <a:effectLst/>
            </c:spPr>
          </c:dPt>
          <c:dPt>
            <c:idx val="8"/>
            <c:explosion val="0"/>
            <c:spPr>
              <a:solidFill>
                <a:srgbClr val="A0A0A0"/>
              </a:solidFill>
              <a:ln w="12700" cap="flat">
                <a:noFill/>
                <a:miter lim="400000"/>
              </a:ln>
              <a:effectLst/>
            </c:spPr>
          </c:dPt>
          <c:dPt>
            <c:idx val="9"/>
            <c:explosion val="0"/>
            <c:spPr>
              <a:solidFill>
                <a:srgbClr val="F9C321"/>
              </a:solidFill>
              <a:ln w="12700" cap="flat">
                <a:noFill/>
                <a:miter lim="400000"/>
              </a:ln>
              <a:effectLst/>
            </c:spPr>
          </c:dPt>
          <c:dPt>
            <c:idx val="10"/>
            <c:explosion val="0"/>
            <c:spPr>
              <a:solidFill>
                <a:srgbClr val="FF4322"/>
              </a:solidFill>
              <a:ln w="12700" cap="flat">
                <a:noFill/>
                <a:miter lim="400000"/>
              </a:ln>
              <a:effectLst/>
            </c:spPr>
          </c:dPt>
          <c:dLbls>
            <c:dLbl>
              <c:idx val="0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 Neue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1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 Neue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2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 Neue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3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 Neue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4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 Neue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5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 Neue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6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 Neue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7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 Neue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8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 Neue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9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 Neue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10"/>
              <c:numFmt formatCode="#,##0%" sourceLinked="0"/>
              <c:txPr>
                <a:bodyPr/>
                <a:lstStyle/>
                <a:p>
                  <a:pPr>
                    <a:defRPr b="0" i="0" strike="noStrike" sz="1200" u="none">
                      <a:solidFill>
                        <a:srgbClr val="FFFFFF"/>
                      </a:solidFill>
                      <a:latin typeface="Helvetica Neue"/>
                    </a:defRPr>
                  </a:pPr>
                </a:p>
              </c:txPr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</c:dLbl>
            <c:numFmt formatCode="#,##0%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FFFFFF"/>
                    </a:solidFill>
                    <a:latin typeface="Helvetica Neue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howLeaderLines val="1"/>
            <c:leaderLines>
              <c:spPr>
                <a:noFill/>
                <a:ln w="6350" cap="flat">
                  <a:solidFill>
                    <a:srgbClr val="000000"/>
                  </a:solidFill>
                  <a:prstDash val="solid"/>
                  <a:miter lim="400000"/>
                </a:ln>
                <a:effectLst/>
              </c:spPr>
            </c:leaderLines>
          </c:dLbls>
          <c:cat>
            <c:strRef>
              <c:f>Sheet1!$B$1:$L$1</c:f>
              <c:strCache>
                <c:ptCount val="11"/>
                <c:pt idx="0">
                  <c:v>Модуль самого UX/UI приложения</c:v>
                </c:pt>
                <c:pt idx="1">
                  <c:v>Модуль входа в систему</c:v>
                </c:pt>
                <c:pt idx="2">
                  <c:v>Модуль базы данных по питанию с описанием, кбжу, картинкой(из всех возможных сервисов нашей доставки)</c:v>
                </c:pt>
                <c:pt idx="3">
                  <c:v>Модуль базы данных пользователей и их предпочтений</c:v>
                </c:pt>
                <c:pt idx="4">
                  <c:v>Модуль ленты со следующими методами*</c:v>
                </c:pt>
                <c:pt idx="5">
                  <c:v>Модуль определения рекомендаций в рационе по введённым данным, или вручную пользователем.</c:v>
                </c:pt>
                <c:pt idx="6">
                  <c:v>Модуль определения возможности и времени доставки</c:v>
                </c:pt>
                <c:pt idx="7">
                  <c:v>Модуль доставки из ресторана</c:v>
                </c:pt>
                <c:pt idx="8">
                  <c:v>Модуль доставки продуктов из магазинов</c:v>
                </c:pt>
                <c:pt idx="9">
                  <c:v>Модуль корзины</c:v>
                </c:pt>
                <c:pt idx="10">
                  <c:v>Модуль оплаты</c:v>
                </c:pt>
              </c:strCache>
            </c:strRef>
          </c:cat>
          <c:val>
            <c:numRef>
              <c:f>Sheet1!$B$2:$L$2</c:f>
              <c:numCache>
                <c:ptCount val="11"/>
                <c:pt idx="0">
                  <c:v>1.000000</c:v>
                </c:pt>
                <c:pt idx="1">
                  <c:v>1.000000</c:v>
                </c:pt>
                <c:pt idx="2">
                  <c:v>1.000000</c:v>
                </c:pt>
                <c:pt idx="3">
                  <c:v>1.000000</c:v>
                </c:pt>
                <c:pt idx="4">
                  <c:v>1.000000</c:v>
                </c:pt>
                <c:pt idx="5">
                  <c:v>1.000000</c:v>
                </c:pt>
                <c:pt idx="6">
                  <c:v>1.000000</c:v>
                </c:pt>
                <c:pt idx="7">
                  <c:v>1.000000</c:v>
                </c:pt>
                <c:pt idx="8">
                  <c:v>1.000000</c:v>
                </c:pt>
                <c:pt idx="9">
                  <c:v>1.000000</c:v>
                </c:pt>
                <c:pt idx="10">
                  <c:v>1.000000</c:v>
                </c:pt>
              </c:numCache>
            </c:numRef>
          </c:val>
        </c:ser>
        <c:firstSliceAng val="0"/>
      </c:pieChart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"/>
          <c:y val="0"/>
          <c:w val="1"/>
          <c:h val="0.32074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Helvetica Neue"/>
            </a:defRPr>
          </a:pPr>
        </a:p>
      </c:txPr>
    </c:legend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