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on"/>
      </w:pPr>
      <w:r>
        <w:rPr>
          <w:b w:val="on"/>
          <w:sz w:val="26"/>
          <w:rFonts w:ascii="Times New Roman" w:hAnsi="Times New Roman" w:cs="Times New Roman" w:eastAsia="Times New Roman"/>
        </w:rPr>
        <w:tab/>
        <w:t>Таблица 3.1 – Конструктивные данные по результатам обследования сооружения по адресу: qwert (ID объекта 123)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3,0 x 4,0 м. Общая площадь - 12,00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5,0м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wert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Бескаркасная с несущими стенами из деревянного бруса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Деревянные, толщиной 140мм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Деревянное, толщиной 150 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Деревянный 150 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Пвх двухкамерные окна, с стеклянным заполнением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qwert (ID объекта 123)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qwert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Сентябрь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wert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деревянного бруса.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60,00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 стены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деревянного бруса.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Двускатная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</w:r>
            <w:r>
              <w:rPr>
                <w:sz w:val="24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Ведомость дефектов: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Элемент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Местоположение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Рекомендации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Протечки, замусоренность водоприемных воронок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Выполнить капитальный ремонт кровли.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Трещины, разрушения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Выполнить ремонтно-восстановительные работы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Разрушения отдельных участков стен; трещины различного характера и протяженности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Выполнить ремонтно-восстановительные работы, с восстановлением защитного слоя бетона.</w:t>
            </w:r>
          </w:p>
        </w:tc>
      </w:tr>
    </w:tbl>
    <w:p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qwert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123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  <w:p>
      <w:pPr>
        <w:pageBreakBefore w:val="on"/>
      </w:pPr>
      <w:r>
        <w:rPr>
          <w:b w:val="on"/>
          <w:sz w:val="26"/>
          <w:rFonts w:ascii="Times New Roman" w:hAnsi="Times New Roman" w:cs="Times New Roman" w:eastAsia="Times New Roman"/>
        </w:rPr>
        <w:tab/>
        <w:t>Таблица 3.2 – Конструктивные данные по результатам обследования сооружения по адресу: ertyjhgfds (ID объекта 23456)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4,0 x 5,0 м. Общая площадь - 20,00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6,0м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werty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Деревянные, толщиной 140мм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Железобетонный пол, толщиной 150 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ertyjhgfds (ID объекта 23456)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ertyjhgfds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Сентябрь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werty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120,00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Односкатная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</w:r>
            <w:r>
              <w:rPr>
                <w:sz w:val="24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ertyjhgfds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23456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дефекты, влияющие на несущую способность конструкций, а также на их долговечность и на эксплуатационную надежность не обнаружены.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2022-09-30T07:16:39Z</dcterms:created>
  <dc:creator>Apache POI</dc:creator>
</cp:coreProperties>
</file>