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 w:rsidR="00814324" w:rsidRPr="00814324">
        <w:rPr>
          <w:rFonts w:eastAsia="Times New Roman" w:cs="Times New Roman"/>
          <w:sz w:val="24"/>
          <w:szCs w:val="24"/>
          <w:u w:val="single"/>
          <w:lang w:eastAsia="ru-RU"/>
        </w:rPr>
        <w:t>Конструкторская документация на с</w:t>
      </w:r>
      <w:r w:rsidRPr="00814324">
        <w:rPr>
          <w:rFonts w:eastAsia="Times New Roman" w:cs="Times New Roman"/>
          <w:sz w:val="24"/>
          <w:szCs w:val="24"/>
          <w:u w:val="single"/>
          <w:lang w:eastAsia="ru-RU"/>
        </w:rPr>
        <w:t>илов</w:t>
      </w:r>
      <w:r w:rsidR="00A86DE8" w:rsidRPr="00814324">
        <w:rPr>
          <w:rFonts w:eastAsia="Times New Roman" w:cs="Times New Roman"/>
          <w:sz w:val="24"/>
          <w:szCs w:val="24"/>
          <w:u w:val="single"/>
          <w:lang w:eastAsia="ru-RU"/>
        </w:rPr>
        <w:t>ой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многофункциональный тренажер с двумя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синхронными эле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ктродвигателями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 xml:space="preserve"> ротора и статора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 xml:space="preserve"> двигателя_____________ 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</w:p>
    <w:p w:rsidR="00704F83" w:rsidRPr="00297E5D" w:rsidRDefault="00704F83" w:rsidP="00814324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D2286" w:rsidRDefault="00EB40EE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73935" w:history="1">
            <w:r w:rsidR="00FD2286" w:rsidRPr="006A2C6E">
              <w:rPr>
                <w:rStyle w:val="af"/>
                <w:rFonts w:cs="Times New Roman"/>
                <w:noProof/>
              </w:rPr>
              <w:t>ВВЕДЕНИЕ</w:t>
            </w:r>
            <w:r w:rsidR="00FD2286">
              <w:rPr>
                <w:noProof/>
                <w:webHidden/>
              </w:rPr>
              <w:tab/>
            </w:r>
            <w:r w:rsidR="00FD2286">
              <w:rPr>
                <w:noProof/>
                <w:webHidden/>
              </w:rPr>
              <w:fldChar w:fldCharType="begin"/>
            </w:r>
            <w:r w:rsidR="00FD2286">
              <w:rPr>
                <w:noProof/>
                <w:webHidden/>
              </w:rPr>
              <w:instrText xml:space="preserve"> PAGEREF _Toc9973935 \h </w:instrText>
            </w:r>
            <w:r w:rsidR="00FD2286">
              <w:rPr>
                <w:noProof/>
                <w:webHidden/>
              </w:rPr>
            </w:r>
            <w:r w:rsidR="00FD2286">
              <w:rPr>
                <w:noProof/>
                <w:webHidden/>
              </w:rPr>
              <w:fldChar w:fldCharType="separate"/>
            </w:r>
            <w:r w:rsidR="00FD2286">
              <w:rPr>
                <w:noProof/>
                <w:webHidden/>
              </w:rPr>
              <w:t>7</w:t>
            </w:r>
            <w:r w:rsidR="00FD2286"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36" w:history="1">
            <w:r w:rsidRPr="006A2C6E">
              <w:rPr>
                <w:rStyle w:val="af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37" w:history="1">
            <w:r w:rsidRPr="006A2C6E">
              <w:rPr>
                <w:rStyle w:val="af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38" w:history="1">
            <w:r w:rsidRPr="006A2C6E">
              <w:rPr>
                <w:rStyle w:val="af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39" w:history="1">
            <w:r w:rsidRPr="006A2C6E">
              <w:rPr>
                <w:rStyle w:val="af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Целостность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0" w:history="1">
            <w:r w:rsidRPr="006A2C6E">
              <w:rPr>
                <w:rStyle w:val="af"/>
                <w:rFonts w:cs="Times New Roman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1" w:history="1">
            <w:r w:rsidRPr="006A2C6E">
              <w:rPr>
                <w:rStyle w:val="af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2" w:history="1">
            <w:r w:rsidRPr="006A2C6E">
              <w:rPr>
                <w:rStyle w:val="af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3" w:history="1">
            <w:r w:rsidRPr="006A2C6E">
              <w:rPr>
                <w:rStyle w:val="af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4" w:history="1">
            <w:r w:rsidRPr="006A2C6E">
              <w:rPr>
                <w:rStyle w:val="af"/>
                <w:rFonts w:cs="Times New Roman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5" w:history="1">
            <w:r w:rsidRPr="006A2C6E">
              <w:rPr>
                <w:rStyle w:val="af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6" w:history="1">
            <w:r w:rsidRPr="006A2C6E">
              <w:rPr>
                <w:rStyle w:val="af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7" w:history="1">
            <w:r w:rsidRPr="006A2C6E">
              <w:rPr>
                <w:rStyle w:val="af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8" w:history="1">
            <w:r w:rsidRPr="006A2C6E">
              <w:rPr>
                <w:rStyle w:val="af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Целостность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49" w:history="1">
            <w:r w:rsidRPr="006A2C6E">
              <w:rPr>
                <w:rStyle w:val="af"/>
                <w:rFonts w:cs="Times New Roman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0" w:history="1">
            <w:r w:rsidRPr="006A2C6E">
              <w:rPr>
                <w:rStyle w:val="af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1" w:history="1">
            <w:r w:rsidRPr="006A2C6E">
              <w:rPr>
                <w:rStyle w:val="af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2" w:history="1">
            <w:r w:rsidRPr="006A2C6E">
              <w:rPr>
                <w:rStyle w:val="af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3" w:history="1">
            <w:r w:rsidRPr="006A2C6E">
              <w:rPr>
                <w:rStyle w:val="af"/>
                <w:rFonts w:cs="Times New Roman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4" w:history="1">
            <w:r w:rsidRPr="006A2C6E">
              <w:rPr>
                <w:rStyle w:val="af"/>
                <w:rFonts w:cs="Times New Roman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5" w:history="1">
            <w:r w:rsidRPr="006A2C6E">
              <w:rPr>
                <w:rStyle w:val="af"/>
                <w:rFonts w:cs="Times New Roman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6" w:history="1">
            <w:r w:rsidRPr="006A2C6E">
              <w:rPr>
                <w:rStyle w:val="af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21"/>
            <w:tabs>
              <w:tab w:val="left" w:pos="709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7" w:history="1">
            <w:r w:rsidRPr="006A2C6E">
              <w:rPr>
                <w:rStyle w:val="af"/>
                <w:rFonts w:cs="Times New Roman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A2C6E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8" w:history="1">
            <w:r w:rsidRPr="006A2C6E">
              <w:rPr>
                <w:rStyle w:val="af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FD2286" w:rsidP="00FD2286">
          <w:pPr>
            <w:pStyle w:val="11"/>
            <w:tabs>
              <w:tab w:val="clear" w:pos="284"/>
              <w:tab w:val="clear" w:pos="426"/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73959" w:history="1">
            <w:r w:rsidRPr="006A2C6E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  <w:r w:rsidR="00FD2286" w:rsidRPr="00FD2286">
            <w:rPr>
              <w:rFonts w:cs="Times New Roman"/>
              <w:szCs w:val="28"/>
            </w:rPr>
            <w:t xml:space="preserve"> </w:t>
          </w:r>
          <w:r w:rsidR="00FD2286" w:rsidRPr="00DE2938">
            <w:rPr>
              <w:rFonts w:cs="Times New Roman"/>
              <w:szCs w:val="28"/>
            </w:rPr>
            <w:t>В</w:t>
          </w:r>
          <w:r w:rsidR="00FD2286">
            <w:rPr>
              <w:rFonts w:cs="Times New Roman"/>
              <w:szCs w:val="28"/>
            </w:rPr>
            <w:t>ВЕДЕНИЕ</w:t>
          </w:r>
        </w:p>
      </w:sdtContent>
    </w:sdt>
    <w:bookmarkStart w:id="3" w:name="_Toc9973935" w:displacedByCustomXml="prev"/>
    <w:bookmarkEnd w:id="2"/>
    <w:bookmarkEnd w:id="3"/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9973936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7D7EBD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9973937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3A608D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C780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C780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</w:t>
      </w:r>
      <w:r w:rsidR="003A608D">
        <w:t xml:space="preserve"> системе силового многофункционального тренажера </w:t>
      </w:r>
      <w:r w:rsidR="003C780D">
        <w:t xml:space="preserve"> </w:t>
      </w:r>
      <w:r w:rsidR="003A608D">
        <w:t xml:space="preserve">аккумуляторных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 xml:space="preserve"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</w:t>
      </w:r>
      <w:r>
        <w:lastRenderedPageBreak/>
        <w:t>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3C780D" w:rsidRDefault="003C780D" w:rsidP="003A608D">
      <w:pPr>
        <w:spacing w:before="0" w:after="0"/>
        <w:ind w:firstLine="851"/>
      </w:pP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0579" cy="13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Default="004439B0" w:rsidP="003C780D">
      <w:pPr>
        <w:spacing w:before="0" w:after="0"/>
        <w:jc w:val="center"/>
      </w:pPr>
      <w:r>
        <w:t xml:space="preserve">Рисунок </w:t>
      </w:r>
      <w:r w:rsidR="001F5E1F">
        <w:fldChar w:fldCharType="begin"/>
      </w:r>
      <w:r w:rsidR="001F5E1F">
        <w:instrText xml:space="preserve"> SEQ Рисунок \* ARABIC </w:instrText>
      </w:r>
      <w:r w:rsidR="001F5E1F">
        <w:fldChar w:fldCharType="separate"/>
      </w:r>
      <w:r w:rsidR="00BA1B46">
        <w:rPr>
          <w:noProof/>
        </w:rPr>
        <w:t>1</w:t>
      </w:r>
      <w:r w:rsidR="001F5E1F">
        <w:rPr>
          <w:noProof/>
        </w:rPr>
        <w:fldChar w:fldCharType="end"/>
      </w:r>
      <w:r>
        <w:t xml:space="preserve"> – </w:t>
      </w:r>
      <w:r w:rsidR="003A608D">
        <w:t>Балластные резисторы</w:t>
      </w:r>
    </w:p>
    <w:p w:rsidR="003C780D" w:rsidRPr="00FC19D1" w:rsidRDefault="003C780D" w:rsidP="003C780D">
      <w:pPr>
        <w:spacing w:before="0" w:after="0"/>
        <w:jc w:val="center"/>
      </w:pPr>
    </w:p>
    <w:p w:rsidR="007F0FDF" w:rsidRDefault="00151786" w:rsidP="007F0FDF">
      <w:pPr>
        <w:spacing w:before="0" w:after="0"/>
        <w:ind w:firstLine="851"/>
      </w:pPr>
      <w:r>
        <w:t>А</w:t>
      </w:r>
      <w:r w:rsidR="00895F2C">
        <w:t>лгоритмом управления устранением энергии является наблюдение за общим уровнем напряжения  питания и потребляемого тока в системе и включением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7F0FDF">
        <w:t>по пороговому алгоритму,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>В случае порогового алгоритма при малейшем превышении порога, назначаемого равным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выключения, что с программной точки зрения занимает значительное процессорное время, а с аппаратной приводит к появлению большого количества пульсаций напряжения.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2, </w:t>
      </w:r>
      <w:r>
        <w:t xml:space="preserve"> </w:t>
      </w:r>
      <w:r w:rsidR="00CB3726">
        <w:t>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реализации и устранение </w:t>
      </w:r>
      <w:r w:rsidR="0001100B">
        <w:lastRenderedPageBreak/>
        <w:t>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1525C59" wp14:editId="4FAD726F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r w:rsidR="001F5E1F">
        <w:fldChar w:fldCharType="begin"/>
      </w:r>
      <w:r w:rsidR="001F5E1F">
        <w:instrText xml:space="preserve"> SEQ Рисунок \* ARABIC </w:instrText>
      </w:r>
      <w:r w:rsidR="001F5E1F">
        <w:fldChar w:fldCharType="separate"/>
      </w:r>
      <w:r w:rsidR="00BA1B46">
        <w:rPr>
          <w:noProof/>
        </w:rPr>
        <w:t>2</w:t>
      </w:r>
      <w:r w:rsidR="001F5E1F">
        <w:rPr>
          <w:noProof/>
        </w:rPr>
        <w:fldChar w:fldCharType="end"/>
      </w:r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BFDB1" wp14:editId="03104DCA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>3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E270BE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9973938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[4]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</w:t>
      </w:r>
      <w:r w:rsidR="00652B76">
        <w:lastRenderedPageBreak/>
        <w:t xml:space="preserve">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Pr="00B027E9">
        <w:t>5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EB21B0E" wp14:editId="31C4A71A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r w:rsidR="001F5E1F">
        <w:fldChar w:fldCharType="begin"/>
      </w:r>
      <w:r w:rsidR="001F5E1F">
        <w:instrText xml:space="preserve"> SEQ Рисунок \* ARABIC </w:instrText>
      </w:r>
      <w:r w:rsidR="001F5E1F">
        <w:fldChar w:fldCharType="separate"/>
      </w:r>
      <w:r w:rsidR="00BA1B46">
        <w:rPr>
          <w:noProof/>
        </w:rPr>
        <w:t>4</w:t>
      </w:r>
      <w:r w:rsidR="001F5E1F">
        <w:rPr>
          <w:noProof/>
        </w:rPr>
        <w:fldChar w:fldCharType="end"/>
      </w:r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[6].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>излучаемые помехи. 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CF543D">
        <w:t>7</w:t>
      </w:r>
      <w:r w:rsidR="00FC19D1" w:rsidRPr="00FC19D1">
        <w:t>]</w:t>
      </w:r>
      <w:r w:rsidR="00DC1C91">
        <w:t>.</w:t>
      </w:r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 xml:space="preserve">ограничивать выбросы электромагнитных излучений </w:t>
      </w:r>
      <w:r w:rsidR="00463F2C">
        <w:lastRenderedPageBreak/>
        <w:t>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2434F6" wp14:editId="341094C4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653759" wp14:editId="35091811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 xml:space="preserve">достигают значения частоты среза фильтра, рассчитываемой по формуле 1,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[8]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1F5E1F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lastRenderedPageBreak/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[9]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5DEE988" wp14:editId="03B1FE5F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[10]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9973939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7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</w:t>
      </w:r>
      <w:r>
        <w:lastRenderedPageBreak/>
        <w:t xml:space="preserve">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[11]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формуле 2, по схеме питания </w:t>
      </w:r>
      <w:r w:rsidRPr="00CA55C9">
        <w:t>[12]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1F5E1F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слишком широкие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9973940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468234457"/>
      <w:bookmarkStart w:id="11" w:name="_Toc9973941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1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4EEF8647" wp14:editId="55FF324D">
            <wp:extent cx="3441699" cy="2581275"/>
            <wp:effectExtent l="0" t="0" r="6985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28" cy="25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1F5E1F">
        <w:fldChar w:fldCharType="begin"/>
      </w:r>
      <w:r w:rsidR="001F5E1F">
        <w:instrText xml:space="preserve"> SEQ Рисунок \* ARABIC </w:instrText>
      </w:r>
      <w:r w:rsidR="001F5E1F">
        <w:fldChar w:fldCharType="separate"/>
      </w:r>
      <w:r w:rsidR="00BA1B46">
        <w:rPr>
          <w:noProof/>
        </w:rPr>
        <w:t>6</w:t>
      </w:r>
      <w:r w:rsidR="001F5E1F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lastRenderedPageBreak/>
        <w:drawing>
          <wp:inline distT="0" distB="0" distL="0" distR="0" wp14:anchorId="5E9233D4" wp14:editId="29DB3631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Default="00C10A2C" w:rsidP="00A6118D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A7407B" w:rsidRPr="00A7407B" w:rsidRDefault="00A7407B" w:rsidP="00A6118D">
      <w:pPr>
        <w:spacing w:before="0" w:after="0"/>
      </w:pP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6,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2D5CCF63" wp14:editId="5C8CE3DA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[13]</w:t>
      </w:r>
      <w:r>
        <w:t xml:space="preserve">, которая является источником распространения электромагнитных помех и при этом потенциально способна </w:t>
      </w:r>
      <w:r>
        <w:lastRenderedPageBreak/>
        <w:t>оказывать влияние на внутренний токовый контур системы управления.</w:t>
      </w:r>
      <w:r>
        <w:t xml:space="preserve"> </w:t>
      </w:r>
      <w:r>
        <w:t>Схема распределения вырабатываемой мощности представлена на рисунке 7.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</w:t>
      </w:r>
      <w:r>
        <w:t xml:space="preserve"> на платах управления двигателями</w:t>
      </w:r>
      <w:r>
        <w:t>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A437E3" wp14:editId="7400E272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7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 xml:space="preserve">, вычисление которой осуществляется по формуле </w:t>
      </w:r>
      <w:r>
        <w:t>3</w:t>
      </w:r>
      <w:r>
        <w:t>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 xml:space="preserve">, вычисление которой осуществляется по формуле </w:t>
      </w:r>
      <w:r>
        <w:t>4</w:t>
      </w:r>
      <w:r>
        <w:t>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 xml:space="preserve">, вычисление которой осуществляется по формуле </w:t>
      </w:r>
      <w:r>
        <w:t>5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B45730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Pr="00B45730">
        <w:rPr>
          <w:b w:val="0"/>
          <w:sz w:val="28"/>
          <w:szCs w:val="28"/>
          <w:lang w:eastAsia="en-US"/>
        </w:rPr>
        <w:tab/>
      </w:r>
      <w:r w:rsidRPr="00B45730">
        <w:rPr>
          <w:b w:val="0"/>
          <w:sz w:val="28"/>
          <w:szCs w:val="22"/>
          <w:lang w:eastAsia="en-US"/>
        </w:rPr>
        <w:tab/>
      </w:r>
      <w:r w:rsidRPr="00B45730">
        <w:rPr>
          <w:b w:val="0"/>
          <w:sz w:val="28"/>
          <w:szCs w:val="22"/>
          <w:lang w:eastAsia="en-US"/>
        </w:rPr>
        <w:tab/>
      </w:r>
      <w:r w:rsidRPr="00B45730">
        <w:rPr>
          <w:b w:val="0"/>
          <w:sz w:val="28"/>
          <w:szCs w:val="22"/>
          <w:lang w:eastAsia="en-US"/>
        </w:rPr>
        <w:tab/>
      </w:r>
      <w:r w:rsidRPr="00B45730">
        <w:rPr>
          <w:b w:val="0"/>
          <w:sz w:val="28"/>
          <w:szCs w:val="22"/>
          <w:lang w:eastAsia="en-US"/>
        </w:rPr>
        <w:tab/>
      </w:r>
      <w:r w:rsidRPr="00B45730">
        <w:rPr>
          <w:b w:val="0"/>
          <w:sz w:val="28"/>
          <w:szCs w:val="22"/>
          <w:lang w:eastAsia="en-US"/>
        </w:rPr>
        <w:tab/>
      </w:r>
      <w:r w:rsidRPr="00B45730">
        <w:rPr>
          <w:b w:val="0"/>
          <w:sz w:val="28"/>
          <w:szCs w:val="28"/>
        </w:rPr>
        <w:t>(</w:t>
      </w:r>
      <w:r w:rsidRPr="00B45730">
        <w:rPr>
          <w:b w:val="0"/>
          <w:sz w:val="28"/>
          <w:szCs w:val="28"/>
        </w:rPr>
        <w:t>3</w:t>
      </w:r>
      <w:r w:rsidRPr="00B45730">
        <w:rPr>
          <w:b w:val="0"/>
          <w:sz w:val="28"/>
          <w:szCs w:val="28"/>
        </w:rPr>
        <w:t>)</w:t>
      </w:r>
    </w:p>
    <w:p w:rsidR="00B45730" w:rsidRPr="00B45730" w:rsidRDefault="00B45730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Pr="00B45730">
        <w:rPr>
          <w:rFonts w:eastAsiaTheme="minorEastAsia" w:cs="Times New Roman"/>
        </w:rPr>
        <w:tab/>
      </w:r>
      <w:r w:rsidRPr="00B45730">
        <w:rPr>
          <w:rFonts w:eastAsiaTheme="minorEastAsia" w:cs="Times New Roman"/>
        </w:rPr>
        <w:tab/>
      </w:r>
      <w:r w:rsidRPr="00B45730">
        <w:rPr>
          <w:rFonts w:eastAsiaTheme="minorEastAsia" w:cs="Times New Roman"/>
        </w:rPr>
        <w:tab/>
      </w:r>
      <w:r w:rsidRPr="00B45730">
        <w:rPr>
          <w:rFonts w:eastAsiaTheme="minorEastAsia" w:cs="Times New Roman"/>
        </w:rPr>
        <w:tab/>
      </w:r>
      <w:r w:rsidRPr="00B45730">
        <w:rPr>
          <w:rFonts w:eastAsiaTheme="minorEastAsia" w:cs="Times New Roman"/>
        </w:rPr>
        <w:tab/>
      </w:r>
      <w:r w:rsidRPr="00B45730">
        <w:rPr>
          <w:rFonts w:cs="Times New Roman"/>
        </w:rPr>
        <w:t>(</w:t>
      </w:r>
      <w:r w:rsidRPr="00B45730">
        <w:rPr>
          <w:rFonts w:cs="Times New Roman"/>
        </w:rPr>
        <w:t>4</w:t>
      </w:r>
      <w:r w:rsidRPr="00B45730">
        <w:rPr>
          <w:rFonts w:cs="Times New Roman"/>
        </w:rPr>
        <w:t>)</w:t>
      </w:r>
    </w:p>
    <w:p w:rsidR="00B45730" w:rsidRPr="00BA263C" w:rsidRDefault="00B45730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>
        <w:rPr>
          <w:b w:val="0"/>
          <w:sz w:val="28"/>
          <w:szCs w:val="22"/>
          <w:lang w:eastAsia="en-US"/>
        </w:rPr>
        <w:tab/>
      </w:r>
      <w:r>
        <w:rPr>
          <w:b w:val="0"/>
          <w:sz w:val="28"/>
          <w:szCs w:val="22"/>
          <w:lang w:eastAsia="en-US"/>
        </w:rPr>
        <w:tab/>
      </w:r>
      <w:r>
        <w:rPr>
          <w:b w:val="0"/>
          <w:sz w:val="28"/>
          <w:szCs w:val="22"/>
          <w:lang w:eastAsia="en-US"/>
        </w:rPr>
        <w:tab/>
      </w:r>
      <w:r>
        <w:rPr>
          <w:b w:val="0"/>
          <w:sz w:val="28"/>
          <w:szCs w:val="22"/>
          <w:lang w:eastAsia="en-US"/>
        </w:rPr>
        <w:tab/>
      </w:r>
      <w:r w:rsidRPr="00C47472">
        <w:rPr>
          <w:b w:val="0"/>
          <w:sz w:val="28"/>
        </w:rPr>
        <w:t>(</w:t>
      </w:r>
      <w:r>
        <w:rPr>
          <w:b w:val="0"/>
          <w:sz w:val="28"/>
        </w:rPr>
        <w:t>5</w:t>
      </w:r>
      <w:r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>
        <w:t>.</w:t>
      </w:r>
    </w:p>
    <w:p w:rsidR="009F7DA0" w:rsidRDefault="00555067" w:rsidP="00A7407B">
      <w:pPr>
        <w:spacing w:before="0" w:after="0"/>
        <w:ind w:firstLine="851"/>
      </w:pPr>
      <w:r>
        <w:t xml:space="preserve">Блок электроники,  представленный на рисунке </w:t>
      </w:r>
      <w:r w:rsidR="00B45730" w:rsidRPr="00B45730">
        <w:t>8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03A77F35" wp14:editId="4BC7CEEC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val="en-US" w:eastAsia="en-US"/>
        </w:rPr>
        <w:t>8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B45730">
        <w:rPr>
          <w:rFonts w:cs="Times New Roman"/>
          <w:lang w:val="en-US"/>
        </w:rPr>
        <w:t>9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4381BB" wp14:editId="64D4B56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10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B878C8" wp14:editId="52FE4F72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val="en-US" w:eastAsia="en-US"/>
        </w:rPr>
        <w:t>10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9973942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Pr="0045165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</w:t>
      </w:r>
      <w:r w:rsidR="00B45730" w:rsidRPr="00B45730">
        <w:t>11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317361C0" wp14:editId="3279DA58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lastRenderedPageBreak/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12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7D972" wp14:editId="2E8DC694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val="en-US" w:eastAsia="en-US"/>
        </w:rPr>
        <w:t>12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13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</w:t>
      </w:r>
      <w:r>
        <w:lastRenderedPageBreak/>
        <w:t>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5FFE7BD" wp14:editId="556A26DC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val="en-US" w:eastAsia="en-US"/>
        </w:rPr>
        <w:t>13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14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25C2AEA" wp14:editId="34E724E8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B45730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val="en-US"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14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lastRenderedPageBreak/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15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B805804" wp14:editId="55BD41DB">
            <wp:extent cx="2424224" cy="18903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446" cy="19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15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45165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9973943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>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1C4BAF">
        <w:t>16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</w:t>
      </w:r>
      <w:r>
        <w:lastRenderedPageBreak/>
        <w:t>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BE3380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B479BF" w:rsidRDefault="00B20B9E" w:rsidP="00B479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1748795" cy="3381153"/>
            <wp:effectExtent l="0" t="0" r="381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396" cy="338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1C4BAF">
        <w:rPr>
          <w:rFonts w:eastAsiaTheme="minorHAnsi" w:cstheme="minorBidi"/>
          <w:b w:val="0"/>
          <w:noProof/>
          <w:sz w:val="28"/>
          <w:szCs w:val="22"/>
          <w:lang w:eastAsia="en-US"/>
        </w:rPr>
        <w:t>16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9973944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4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9973945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</w:t>
      </w:r>
      <w:r>
        <w:t>гнуть</w:t>
      </w:r>
      <w:r>
        <w:t xml:space="preserve"> совместимости в цепях питания технических систем </w:t>
      </w:r>
      <w:r>
        <w:t>и</w:t>
      </w:r>
      <w:r>
        <w:t xml:space="preserve"> </w:t>
      </w:r>
      <w:r>
        <w:t>решить</w:t>
      </w:r>
      <w:r>
        <w:t xml:space="preserve"> проблем</w:t>
      </w:r>
      <w:r>
        <w:t>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9973946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6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</w:t>
      </w:r>
      <w:r w:rsidR="00EF7332">
        <w:t>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</w:t>
      </w:r>
      <w:r>
        <w:t>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9973947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7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[14].</w:t>
      </w:r>
    </w:p>
    <w:p w:rsidR="00522922" w:rsidRPr="00522922" w:rsidRDefault="00522922" w:rsidP="00522922">
      <w:pPr>
        <w:spacing w:before="0" w:after="0"/>
        <w:ind w:firstLine="851"/>
        <w:rPr>
          <w:rFonts w:cs="Times New Roman"/>
        </w:rPr>
      </w:pPr>
      <w:r>
        <w:rPr>
          <w:szCs w:val="28"/>
        </w:rPr>
        <w:t>Согласно техническому заданию напряжения кондуктивных помех, создаваемых силовым многофункциональным тренажером, не должны превышать 102 дБмкВ при рабочей частоте 13 кГц</w:t>
      </w:r>
      <w:r w:rsidRPr="00522922">
        <w:rPr>
          <w:szCs w:val="28"/>
        </w:rPr>
        <w:t xml:space="preserve"> [14]</w:t>
      </w:r>
      <w:r>
        <w:rPr>
          <w:szCs w:val="28"/>
        </w:rPr>
        <w:t>.</w:t>
      </w:r>
      <w:r w:rsidRPr="00522922">
        <w:rPr>
          <w:szCs w:val="28"/>
        </w:rPr>
        <w:t xml:space="preserve"> </w:t>
      </w:r>
      <w:r>
        <w:rPr>
          <w:szCs w:val="28"/>
        </w:rPr>
        <w:t>Напряженность электрического поля излучаемых электромагнитных помех не должна превышать 55дБмкВ/м при рабочей частоте</w:t>
      </w:r>
      <w:r w:rsidR="00D76EAA">
        <w:rPr>
          <w:szCs w:val="28"/>
        </w:rPr>
        <w:t xml:space="preserve"> </w:t>
      </w:r>
      <w:r w:rsidR="00D76EAA">
        <w:rPr>
          <w:szCs w:val="28"/>
        </w:rPr>
        <w:t>13 кГц</w:t>
      </w:r>
      <w:r w:rsidR="00D76EAA" w:rsidRPr="00522922">
        <w:rPr>
          <w:szCs w:val="28"/>
        </w:rPr>
        <w:t xml:space="preserve"> [14]</w:t>
      </w:r>
      <w:r w:rsidR="00D76EAA">
        <w:rPr>
          <w:szCs w:val="28"/>
        </w:rPr>
        <w:t>.</w:t>
      </w:r>
    </w:p>
    <w:p w:rsidR="006B27E6" w:rsidRDefault="006B27E6" w:rsidP="007D599C">
      <w:pPr>
        <w:spacing w:before="0" w:after="0"/>
        <w:ind w:firstLine="851"/>
        <w:rPr>
          <w:rFonts w:cs="Times New Roman"/>
        </w:rPr>
      </w:pP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9973948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8"/>
    </w:p>
    <w:p w:rsidR="006B27E6" w:rsidRDefault="006B27E6" w:rsidP="007D599C">
      <w:pPr>
        <w:spacing w:before="0" w:after="0"/>
        <w:ind w:firstLine="851"/>
        <w:rPr>
          <w:rFonts w:cs="Times New Roman"/>
        </w:rPr>
      </w:pPr>
    </w:p>
    <w:p w:rsidR="006B27E6" w:rsidRDefault="006B27E6" w:rsidP="007D599C">
      <w:pPr>
        <w:spacing w:before="0" w:after="0"/>
        <w:ind w:firstLine="851"/>
        <w:rPr>
          <w:rFonts w:cs="Times New Roman"/>
        </w:rPr>
      </w:pPr>
    </w:p>
    <w:p w:rsidR="006B27E6" w:rsidRDefault="006B27E6" w:rsidP="007D599C">
      <w:pPr>
        <w:spacing w:before="0" w:after="0"/>
        <w:ind w:firstLine="851"/>
        <w:rPr>
          <w:rFonts w:cs="Times New Roman"/>
        </w:rPr>
      </w:pPr>
    </w:p>
    <w:p w:rsidR="006B27E6" w:rsidRDefault="007D599C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Аппаратная часть системы сопряжения, реализованная на электронных печатных платах, позволяет разрешить проблемы, связанные с электромагнитной совместимостью</w:t>
      </w:r>
      <w:r w:rsidR="006B27E6">
        <w:rPr>
          <w:rFonts w:cs="Times New Roman"/>
        </w:rPr>
        <w:t xml:space="preserve"> и целостностью питания</w:t>
      </w:r>
      <w:r>
        <w:rPr>
          <w:rFonts w:cs="Times New Roman"/>
        </w:rPr>
        <w:t xml:space="preserve">. С целью определения эффективности </w:t>
      </w:r>
      <w:r w:rsidR="006B27E6">
        <w:rPr>
          <w:rFonts w:cs="Times New Roman"/>
        </w:rPr>
        <w:t>решений по обеспечению электромагнитной совместимости</w:t>
      </w:r>
      <w:r>
        <w:rPr>
          <w:rFonts w:cs="Times New Roman"/>
        </w:rPr>
        <w:t xml:space="preserve"> необходимо провести моделирование печатных плат драйвера и платы интерфейсной и построить распределение электромагнитного</w:t>
      </w:r>
      <w:r w:rsidR="006B27E6">
        <w:rPr>
          <w:rFonts w:cs="Times New Roman"/>
        </w:rPr>
        <w:t xml:space="preserve"> поля, вывести суммарное значение напряженности и сравнить его </w:t>
      </w:r>
      <w:proofErr w:type="gramStart"/>
      <w:r w:rsidR="006B27E6">
        <w:rPr>
          <w:rFonts w:cs="Times New Roman"/>
        </w:rPr>
        <w:t>с</w:t>
      </w:r>
      <w:proofErr w:type="gramEnd"/>
      <w:r w:rsidR="006B27E6">
        <w:rPr>
          <w:rFonts w:cs="Times New Roman"/>
        </w:rPr>
        <w:t xml:space="preserve"> установленным в техническом задании. Решение можно считать эффективным, только если значение напряженности поля не будет превышать заданное в техническом задании. </w:t>
      </w:r>
    </w:p>
    <w:p w:rsidR="007D599C" w:rsidRDefault="006B27E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С целью определения эффективности решений по обеспечению целостности питания необходимо провести моделирование печатных плат драйвера и платы интерфейсной и построить распределение электромагнитного </w:t>
      </w:r>
      <w:r>
        <w:rPr>
          <w:rFonts w:cs="Times New Roman"/>
        </w:rPr>
        <w:lastRenderedPageBreak/>
        <w:t xml:space="preserve">поля, вывести суммарное значение напряженности и сравнить его </w:t>
      </w:r>
      <w:proofErr w:type="gramStart"/>
      <w:r>
        <w:rPr>
          <w:rFonts w:cs="Times New Roman"/>
        </w:rPr>
        <w:t>с</w:t>
      </w:r>
      <w:proofErr w:type="gramEnd"/>
      <w:r>
        <w:rPr>
          <w:rFonts w:cs="Times New Roman"/>
        </w:rPr>
        <w:t xml:space="preserve"> установленным в техническом задании. Решение можно считать эффективным, только если значение напряженности поля не будет превышать заданное в техническом задании.</w:t>
      </w: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9973950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FD2286">
      <w:pPr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</w:p>
    <w:p w:rsidR="00971278" w:rsidRDefault="00EB436A" w:rsidP="009712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98BB3A" wp14:editId="66535D6F">
            <wp:extent cx="3345250" cy="3295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844" cy="3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4" w:rsidRPr="00971278" w:rsidRDefault="00971278" w:rsidP="00971278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begin"/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instrText xml:space="preserve"> SEQ Рисунок \* ARABIC </w:instrTex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separate"/>
      </w:r>
      <w:r w:rsidR="00BA1B46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fldChar w:fldCharType="end"/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D76EAA" w:rsidRDefault="00D76EAA" w:rsidP="00D76EAA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9973951"/>
      <w:r>
        <w:rPr>
          <w:noProof/>
          <w:lang w:eastAsia="ru-RU"/>
        </w:rPr>
        <w:lastRenderedPageBreak/>
        <w:drawing>
          <wp:inline distT="0" distB="0" distL="0" distR="0" wp14:anchorId="1728C938" wp14:editId="0CF2A9BD">
            <wp:extent cx="6120130" cy="602980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D76EAA" w:rsidP="00D76EAA"/>
    <w:p w:rsidR="00D76EAA" w:rsidRDefault="00D76EAA" w:rsidP="00D76EAA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4"/>
      </w:tblGrid>
      <w:tr w:rsidR="00D76EAA" w:rsidTr="00D76EAA">
        <w:tc>
          <w:tcPr>
            <w:tcW w:w="9854" w:type="dxa"/>
          </w:tcPr>
          <w:p w:rsidR="00D76EAA" w:rsidRDefault="00D76EAA" w:rsidP="00D76EA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84A6333" wp14:editId="18CC7631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D76EAA">
        <w:tc>
          <w:tcPr>
            <w:tcW w:w="9854" w:type="dxa"/>
          </w:tcPr>
          <w:p w:rsidR="00D76EAA" w:rsidRDefault="00D76EAA" w:rsidP="00D76EAA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2E1201F" wp14:editId="719A3E45">
                  <wp:extent cx="2849525" cy="1306350"/>
                  <wp:effectExtent l="0" t="0" r="8255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18" cy="130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D76EAA">
        <w:tc>
          <w:tcPr>
            <w:tcW w:w="9854" w:type="dxa"/>
          </w:tcPr>
          <w:p w:rsidR="00D76EAA" w:rsidRDefault="00D76EAA" w:rsidP="00D76EA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A120C6" wp14:editId="7C73465C">
                  <wp:extent cx="2798788" cy="1286540"/>
                  <wp:effectExtent l="0" t="0" r="190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57" cy="129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D76EAA" w:rsidP="00D76EAA"/>
    <w:p w:rsidR="00D76EAA" w:rsidRDefault="00D76EAA" w:rsidP="00D76EAA">
      <w:r>
        <w:rPr>
          <w:noProof/>
          <w:lang w:eastAsia="ru-RU"/>
        </w:rPr>
        <w:lastRenderedPageBreak/>
        <w:drawing>
          <wp:inline distT="0" distB="0" distL="0" distR="0" wp14:anchorId="227422E3" wp14:editId="587578CA">
            <wp:extent cx="6120130" cy="60999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D76EAA" w:rsidP="00D76EAA"/>
    <w:p w:rsidR="00D76EAA" w:rsidRDefault="00D76EAA" w:rsidP="00D76EAA">
      <w:r>
        <w:rPr>
          <w:noProof/>
          <w:lang w:eastAsia="ru-RU"/>
        </w:rPr>
        <w:lastRenderedPageBreak/>
        <w:drawing>
          <wp:inline distT="0" distB="0" distL="0" distR="0" wp14:anchorId="5E69AE67" wp14:editId="231B10B0">
            <wp:extent cx="2066925" cy="3429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D76EAA" w:rsidP="00D76EAA"/>
    <w:p w:rsidR="00D76EAA" w:rsidRDefault="00D76EAA" w:rsidP="00D76EAA">
      <w:r>
        <w:rPr>
          <w:noProof/>
          <w:lang w:eastAsia="ru-RU"/>
        </w:rPr>
        <w:drawing>
          <wp:inline distT="0" distB="0" distL="0" distR="0" wp14:anchorId="2854FF33" wp14:editId="5FCF056B">
            <wp:extent cx="3181350" cy="1790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D76EAA" w:rsidRPr="00D76EAA" w:rsidRDefault="00D76EAA" w:rsidP="00D76EAA"/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0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Pr="00512397" w:rsidRDefault="00D60139" w:rsidP="00FD228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</w:t>
      </w:r>
      <w:r>
        <w:rPr>
          <w:rFonts w:cs="Times New Roman"/>
        </w:rPr>
        <w:lastRenderedPageBreak/>
        <w:t xml:space="preserve">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997395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9973953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9973954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997395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9973956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997395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9973958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0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9973959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9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7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>
        <w:t>Шевлюгин</w:t>
      </w:r>
      <w:proofErr w:type="spellEnd"/>
      <w:r>
        <w:t xml:space="preserve"> М.В. </w:t>
      </w:r>
      <w:proofErr w:type="spellStart"/>
      <w: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027E9" w:rsidRPr="00B027E9" w:rsidRDefault="00B027E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EC11B8" w:rsidRPr="00EC11B8" w:rsidRDefault="00EC11B8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8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9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46358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0" w:history="1">
        <w:r w:rsidRPr="00463582">
          <w:rPr>
            <w:rFonts w:cs="Times New Roman"/>
            <w:szCs w:val="28"/>
          </w:rPr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C93407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1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231B7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42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CB07E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A6118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52292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bookmarkEnd w:id="30"/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sectPr w:rsidR="003C3FA8" w:rsidRPr="003C3FA8" w:rsidSect="007C7C4C">
      <w:footerReference w:type="default" r:id="rId4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9A1" w:rsidRDefault="000F09A1" w:rsidP="00C845C8">
      <w:pPr>
        <w:spacing w:before="0" w:after="0" w:line="240" w:lineRule="auto"/>
      </w:pPr>
      <w:r>
        <w:separator/>
      </w:r>
    </w:p>
  </w:endnote>
  <w:endnote w:type="continuationSeparator" w:id="0">
    <w:p w:rsidR="000F09A1" w:rsidRDefault="000F09A1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1F5E1F" w:rsidRDefault="001F5E1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EAA">
          <w:rPr>
            <w:noProof/>
          </w:rPr>
          <w:t>32</w:t>
        </w:r>
        <w:r>
          <w:fldChar w:fldCharType="end"/>
        </w:r>
      </w:p>
    </w:sdtContent>
  </w:sdt>
  <w:p w:rsidR="001F5E1F" w:rsidRDefault="001F5E1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9A1" w:rsidRDefault="000F09A1" w:rsidP="00C845C8">
      <w:pPr>
        <w:spacing w:before="0" w:after="0" w:line="240" w:lineRule="auto"/>
      </w:pPr>
      <w:r>
        <w:separator/>
      </w:r>
    </w:p>
  </w:footnote>
  <w:footnote w:type="continuationSeparator" w:id="0">
    <w:p w:rsidR="000F09A1" w:rsidRDefault="000F09A1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0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5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0"/>
  </w:num>
  <w:num w:numId="5">
    <w:abstractNumId w:val="1"/>
  </w:num>
  <w:num w:numId="6">
    <w:abstractNumId w:val="22"/>
  </w:num>
  <w:num w:numId="7">
    <w:abstractNumId w:val="5"/>
  </w:num>
  <w:num w:numId="8">
    <w:abstractNumId w:val="18"/>
  </w:num>
  <w:num w:numId="9">
    <w:abstractNumId w:val="16"/>
  </w:num>
  <w:num w:numId="10">
    <w:abstractNumId w:val="8"/>
  </w:num>
  <w:num w:numId="11">
    <w:abstractNumId w:val="23"/>
  </w:num>
  <w:num w:numId="12">
    <w:abstractNumId w:val="15"/>
  </w:num>
  <w:num w:numId="13">
    <w:abstractNumId w:val="7"/>
  </w:num>
  <w:num w:numId="14">
    <w:abstractNumId w:val="19"/>
  </w:num>
  <w:num w:numId="15">
    <w:abstractNumId w:val="9"/>
  </w:num>
  <w:num w:numId="16">
    <w:abstractNumId w:val="25"/>
  </w:num>
  <w:num w:numId="17">
    <w:abstractNumId w:val="11"/>
  </w:num>
  <w:num w:numId="18">
    <w:abstractNumId w:val="12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17"/>
  </w:num>
  <w:num w:numId="24">
    <w:abstractNumId w:val="6"/>
  </w:num>
  <w:num w:numId="25">
    <w:abstractNumId w:val="26"/>
  </w:num>
  <w:num w:numId="26">
    <w:abstractNumId w:val="21"/>
  </w:num>
  <w:num w:numId="27">
    <w:abstractNumId w:val="3"/>
  </w:num>
  <w:num w:numId="2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1231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www.compel.ru/lib/ne/2014/5/6-sinfaznyie-drosseli-kompanii-sumida-dlya-poverhnostnogo-montazha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studme.org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electrik.info/main/fakty/1172-rekuperaciya-elektricheskoy-energii.html" TargetMode="External"/><Relationship Id="rId40" Type="http://schemas.openxmlformats.org/officeDocument/2006/relationships/hyperlink" Target="http://audioakustika.ru/node/1450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russianelectronics.ru/leader-r/review/2327/doc/52968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zaochnik.com/spravochnik/fizika/magnitnoe-pole/naprjazhennost-magnitnogo-polja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www.lcard.ru/lexicon/shield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B4B82E-F9A9-4704-9954-A3DDE59C4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6583</TotalTime>
  <Pages>38</Pages>
  <Words>6378</Words>
  <Characters>36356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75</cp:revision>
  <cp:lastPrinted>2018-06-01T09:07:00Z</cp:lastPrinted>
  <dcterms:created xsi:type="dcterms:W3CDTF">2017-12-19T08:35:00Z</dcterms:created>
  <dcterms:modified xsi:type="dcterms:W3CDTF">2019-05-28T21:53:00Z</dcterms:modified>
</cp:coreProperties>
</file>