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2135013726"/>
      </w:sdtPr>
      <w:sdtContent>
        <w:p>
          <w:pPr>
            <w:pStyle w:val="TOCHeading"/>
            <w:spacing w:before="480" w:after="0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2867894">
            <w:r>
              <w:rPr>
                <w:webHidden/>
                <w:rStyle w:val="IndexLink"/>
              </w:rPr>
              <w:t>Общая архитектура связи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895">
            <w:r>
              <w:rPr>
                <w:webHidden/>
                <w:rStyle w:val="IndexLink"/>
                <w:lang w:val="en-US"/>
              </w:rPr>
              <w:t>Level 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896">
            <w:r>
              <w:rPr>
                <w:webHidden/>
                <w:rStyle w:val="IndexLink"/>
                <w:lang w:val="en-US"/>
              </w:rPr>
              <w:t>Level</w:t>
            </w:r>
            <w:r>
              <w:rPr>
                <w:rStyle w:val="IndexLink"/>
              </w:rPr>
              <w:t xml:space="preserve">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897">
            <w:r>
              <w:rPr>
                <w:webHidden/>
                <w:rStyle w:val="IndexLink"/>
                <w:lang w:val="en-US"/>
              </w:rPr>
              <w:t>Level</w:t>
            </w:r>
            <w:r>
              <w:rPr>
                <w:rStyle w:val="IndexLink"/>
              </w:rPr>
              <w:t xml:space="preserve">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898">
            <w:r>
              <w:rPr>
                <w:webHidden/>
                <w:rStyle w:val="IndexLink"/>
                <w:lang w:val="en-US"/>
              </w:rPr>
              <w:t>ACK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en-US"/>
              </w:rPr>
              <w:t>protocol</w:t>
            </w:r>
            <w:r>
              <w:rPr>
                <w:rStyle w:val="IndexLink"/>
              </w:rPr>
              <w:t xml:space="preserve"> (</w:t>
            </w:r>
            <w:r>
              <w:rPr>
                <w:rStyle w:val="IndexLink"/>
                <w:lang w:val="en-US"/>
              </w:rPr>
              <w:t>AP</w:t>
            </w:r>
            <w:r>
              <w:rPr>
                <w:rStyle w:val="IndexLink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899">
            <w:r>
              <w:rPr>
                <w:webHidden/>
                <w:rStyle w:val="IndexLink"/>
                <w:lang w:val="en-US"/>
              </w:rPr>
              <w:t>Point-to-Point protocol (PtP)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900">
            <w:r>
              <w:rPr>
                <w:webHidden/>
                <w:rStyle w:val="IndexLink"/>
              </w:rPr>
              <w:t>Принципы связи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901">
            <w:r>
              <w:rPr>
                <w:webHidden/>
                <w:rStyle w:val="IndexLink"/>
              </w:rPr>
              <w:t>Поддержка канала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902">
            <w:r>
              <w:rPr>
                <w:webHidden/>
                <w:rStyle w:val="IndexLink"/>
              </w:rPr>
              <w:t>Передача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82867903">
            <w:r>
              <w:rPr>
                <w:webHidden/>
                <w:rStyle w:val="IndexLink"/>
              </w:rPr>
              <w:t>Структура сети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_Toc482867903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2" w:name="_Toc482867894"/>
      <w:bookmarkEnd w:id="2"/>
      <w:r>
        <w:rPr/>
        <w:t>Общая архитектура связи</w:t>
      </w:r>
    </w:p>
    <w:p>
      <w:pPr>
        <w:pStyle w:val="Heading2"/>
        <w:rPr>
          <w:lang w:val="en-US"/>
        </w:rPr>
      </w:pPr>
      <w:bookmarkStart w:id="3" w:name="_Toc482867895"/>
      <w:bookmarkEnd w:id="3"/>
      <w:r>
        <w:rPr>
          <w:lang w:val="en-US"/>
        </w:rPr>
        <w:t>Level 0</w:t>
      </w:r>
    </w:p>
    <w:tbl>
      <w:tblPr>
        <w:tblStyle w:val="a3"/>
        <w:tblW w:w="95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9"/>
        <w:gridCol w:w="385"/>
        <w:gridCol w:w="7854"/>
        <w:gridCol w:w="377"/>
      </w:tblGrid>
      <w:tr>
        <w:trPr/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COBS</w:t>
            </w:r>
            <w:r>
              <w:rPr/>
              <w:t xml:space="preserve">-кодированные данные </w:t>
            </w:r>
            <w:r>
              <w:rPr>
                <w:lang w:val="en-US"/>
              </w:rPr>
              <w:t>Level</w:t>
            </w:r>
            <w:r>
              <w:rPr/>
              <w:t>-1</w:t>
            </w:r>
          </w:p>
        </w:tc>
        <w:tc>
          <w:tcPr>
            <w:tcW w:w="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Длина</w:t>
            </w:r>
          </w:p>
        </w:tc>
        <w:tc>
          <w:tcPr>
            <w:tcW w:w="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Изменяющаяся</w:t>
            </w:r>
          </w:p>
        </w:tc>
        <w:tc>
          <w:tcPr>
            <w:tcW w:w="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>
      <w:pPr>
        <w:pStyle w:val="Normal"/>
        <w:jc w:val="both"/>
        <w:rPr/>
      </w:pPr>
      <w:r>
        <w:rPr/>
        <w:t xml:space="preserve">Пакеты начинаются и заканчиваются кодом «0». Контент пакета кодируется по </w:t>
      </w:r>
      <w:r>
        <w:rPr>
          <w:lang w:val="en-US"/>
        </w:rPr>
        <w:t>COBS</w:t>
      </w:r>
      <w:r>
        <w:rPr/>
        <w:t>-алгоритму (у кодированных данных не может встретиться код «0» в теле пакета).</w:t>
      </w:r>
    </w:p>
    <w:p>
      <w:pPr>
        <w:pStyle w:val="Heading2"/>
        <w:rPr>
          <w:lang w:val="en-US"/>
        </w:rPr>
      </w:pPr>
      <w:bookmarkStart w:id="4" w:name="_Toc482867896"/>
      <w:r>
        <w:rPr>
          <w:lang w:val="en-US"/>
        </w:rPr>
        <w:t>Level</w:t>
      </w:r>
      <w:bookmarkEnd w:id="4"/>
      <w:r>
        <w:rPr/>
        <w:t xml:space="preserve"> 1</w:t>
      </w:r>
    </w:p>
    <w:tbl>
      <w:tblPr>
        <w:tblStyle w:val="a3"/>
        <w:tblW w:w="91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4"/>
        <w:gridCol w:w="1176"/>
        <w:gridCol w:w="2561"/>
        <w:gridCol w:w="3499"/>
        <w:gridCol w:w="571"/>
      </w:tblGrid>
      <w:tr>
        <w:trPr/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 источника</w:t>
            </w:r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Тип контента </w:t>
            </w:r>
            <w:r>
              <w:rPr>
                <w:lang w:val="en-US"/>
              </w:rPr>
              <w:t>Level-2</w:t>
            </w:r>
          </w:p>
        </w:tc>
        <w:tc>
          <w:tcPr>
            <w:tcW w:w="3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Контент </w:t>
            </w:r>
            <w:r>
              <w:rPr>
                <w:lang w:val="en-US"/>
              </w:rPr>
              <w:t>Level-2</w:t>
            </w:r>
          </w:p>
        </w:tc>
        <w:tc>
          <w:tcPr>
            <w:tcW w:w="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>
        <w:trPr>
          <w:trHeight w:val="304" w:hRule="atLeast"/>
        </w:trPr>
        <w:tc>
          <w:tcPr>
            <w:tcW w:w="1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Длина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Изменяющаяся</w:t>
            </w:r>
          </w:p>
        </w:tc>
        <w:tc>
          <w:tcPr>
            <w:tcW w:w="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jc w:val="both"/>
        <w:rPr/>
      </w:pPr>
      <w:r>
        <w:rPr/>
        <w:t xml:space="preserve">Контрольная сумма вычисляется как </w:t>
      </w:r>
      <w:r>
        <w:rPr>
          <w:lang w:val="en-US"/>
        </w:rPr>
        <w:t>CRC</w:t>
      </w:r>
      <w:r>
        <w:rPr>
          <w:lang w:val="en-US"/>
        </w:rPr>
        <w:t>8</w:t>
      </w:r>
      <w:r>
        <w:rPr/>
        <w:t xml:space="preserve"> всех </w:t>
      </w:r>
      <w:r>
        <w:rPr/>
        <w:t>1</w:t>
      </w:r>
      <w:r>
        <w:rPr/>
        <w:t>-байтовых слов, входящих в пакет (тип контента, контент, адрес источника, счётчик пакетов). Если длина пакета не кратна 4, то для вычисления контрольной суммы данные пакета дополняются нулями до длины кратной 4-м (нулевые байты «добавляются» в конец пакета).</w:t>
      </w:r>
    </w:p>
    <w:p>
      <w:pPr>
        <w:pStyle w:val="Normal"/>
        <w:jc w:val="both"/>
        <w:rPr/>
      </w:pPr>
      <w:r>
        <w:rPr/>
        <w:t>Адрес источника присвоен устройству – пульту (</w:t>
      </w:r>
      <w:r>
        <w:rPr>
          <w:lang w:val="en-US"/>
        </w:rPr>
        <w:t>Slave</w:t>
      </w:r>
      <w:r>
        <w:rPr/>
        <w:t>). Определяется значением комбинации битов (0 - 127).</w:t>
      </w:r>
    </w:p>
    <w:p>
      <w:pPr>
        <w:pStyle w:val="Normal"/>
        <w:jc w:val="both"/>
        <w:rPr/>
      </w:pPr>
      <w:r>
        <w:rPr/>
        <w:t>Тип пакета определяет, как будет производиться парсинг контента.</w:t>
      </w:r>
    </w:p>
    <w:tbl>
      <w:tblPr>
        <w:tblStyle w:val="a3"/>
        <w:tblW w:w="64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6"/>
        <w:gridCol w:w="4960"/>
      </w:tblGrid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Тип контента</w:t>
            </w:r>
          </w:p>
        </w:tc>
        <w:tc>
          <w:tcPr>
            <w:tcW w:w="4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</w:rPr>
              <w:t>Протокол</w:t>
            </w:r>
            <w:r>
              <w:rPr>
                <w:b/>
                <w:lang w:val="en-US"/>
              </w:rPr>
              <w:t xml:space="preserve"> Level-2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P” (0x50)</w:t>
            </w:r>
          </w:p>
        </w:tc>
        <w:tc>
          <w:tcPr>
            <w:tcW w:w="4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Адресный протокол точка-точка (</w:t>
            </w:r>
            <w:r>
              <w:rPr>
                <w:lang w:val="en-US"/>
              </w:rPr>
              <w:t>Point</w:t>
            </w:r>
            <w:r>
              <w:rPr/>
              <w:t>-</w:t>
            </w:r>
            <w:r>
              <w:rPr>
                <w:lang w:val="en-US"/>
              </w:rPr>
              <w:t>to</w:t>
            </w:r>
            <w:r>
              <w:rPr/>
              <w:t>-</w:t>
            </w:r>
            <w:r>
              <w:rPr>
                <w:lang w:val="en-US"/>
              </w:rPr>
              <w:t>Point</w:t>
            </w:r>
            <w:r>
              <w:rPr/>
              <w:t xml:space="preserve"> </w:t>
            </w:r>
            <w:r>
              <w:rPr>
                <w:lang w:val="en-US"/>
              </w:rPr>
              <w:t>protocol</w:t>
            </w:r>
            <w:r>
              <w:rPr/>
              <w:t xml:space="preserve"> – </w:t>
            </w:r>
            <w:r>
              <w:rPr>
                <w:lang w:val="en-US"/>
              </w:rPr>
              <w:t>PtP</w:t>
            </w:r>
            <w:r>
              <w:rPr/>
              <w:t>)</w:t>
            </w:r>
          </w:p>
        </w:tc>
      </w:tr>
      <w:tr>
        <w:trPr/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A” (0x41)</w:t>
            </w:r>
          </w:p>
        </w:tc>
        <w:tc>
          <w:tcPr>
            <w:tcW w:w="4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Протокол уведомления (</w:t>
            </w:r>
            <w:r>
              <w:rPr>
                <w:lang w:val="en-US"/>
              </w:rPr>
              <w:t>ACK</w:t>
            </w:r>
            <w:r>
              <w:rPr/>
              <w:t xml:space="preserve"> </w:t>
            </w:r>
            <w:r>
              <w:rPr>
                <w:lang w:val="en-US"/>
              </w:rPr>
              <w:t>protocol</w:t>
            </w:r>
            <w:r>
              <w:rPr/>
              <w:t xml:space="preserve"> – </w:t>
            </w:r>
            <w:r>
              <w:rPr>
                <w:lang w:val="en-US"/>
              </w:rPr>
              <w:t>AP</w:t>
            </w:r>
            <w:r>
              <w:rPr/>
              <w:t>)</w:t>
            </w:r>
          </w:p>
        </w:tc>
      </w:tr>
    </w:tbl>
    <w:p>
      <w:pPr>
        <w:pStyle w:val="Heading2"/>
        <w:rPr/>
      </w:pPr>
      <w:bookmarkStart w:id="5" w:name="_Toc482867897"/>
      <w:r>
        <w:rPr>
          <w:lang w:val="en-US"/>
        </w:rPr>
        <w:t>Level</w:t>
      </w:r>
      <w:bookmarkEnd w:id="5"/>
      <w:r>
        <w:rPr/>
        <w:t xml:space="preserve"> 2</w:t>
      </w:r>
    </w:p>
    <w:p>
      <w:pPr>
        <w:pStyle w:val="Heading3"/>
        <w:rPr/>
      </w:pPr>
      <w:bookmarkStart w:id="6" w:name="_Toc482867898"/>
      <w:r>
        <w:rPr>
          <w:lang w:val="en-US"/>
        </w:rPr>
        <w:t>ACK</w:t>
      </w:r>
      <w:r>
        <w:rPr/>
        <w:t xml:space="preserve"> </w:t>
      </w:r>
      <w:r>
        <w:rPr>
          <w:lang w:val="en-US"/>
        </w:rPr>
        <w:t>protocol</w:t>
      </w:r>
      <w:r>
        <w:rPr/>
        <w:t xml:space="preserve"> (</w:t>
      </w:r>
      <w:r>
        <w:rPr>
          <w:lang w:val="en-US"/>
        </w:rPr>
        <w:t>AP</w:t>
      </w:r>
      <w:bookmarkEnd w:id="6"/>
      <w:r>
        <w:rPr/>
        <w:t>)</w:t>
      </w:r>
    </w:p>
    <w:p>
      <w:pPr>
        <w:pStyle w:val="Normal"/>
        <w:jc w:val="both"/>
        <w:rPr/>
      </w:pPr>
      <w:r>
        <w:rPr/>
        <w:t>Данный протокол используется для проверки наличия связи между устройствами. В пакете передаются следующие данные: адрес устройства-отправителя, значение напряжения на устройстве.</w:t>
      </w:r>
    </w:p>
    <w:tbl>
      <w:tblPr>
        <w:tblStyle w:val="a3"/>
        <w:tblW w:w="50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0"/>
        <w:gridCol w:w="1667"/>
        <w:gridCol w:w="2422"/>
      </w:tblGrid>
      <w:tr>
        <w:trPr/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Адрес приёмника</w:t>
            </w:r>
          </w:p>
        </w:tc>
        <w:tc>
          <w:tcPr>
            <w:tcW w:w="2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Уровень напряжения</w:t>
            </w:r>
          </w:p>
        </w:tc>
      </w:tr>
      <w:tr>
        <w:trPr/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Длина</w:t>
            </w:r>
          </w:p>
        </w:tc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4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spacing w:before="240" w:after="200"/>
        <w:rPr/>
      </w:pPr>
      <w:r>
        <w:rPr/>
        <w:t xml:space="preserve">Уровень напряжения считывается с регистра АЦП </w:t>
      </w:r>
      <w:r>
        <w:rPr>
          <w:lang w:val="en-US"/>
        </w:rPr>
        <w:t>ADCL</w:t>
      </w:r>
      <w:r>
        <w:rPr/>
        <w:t xml:space="preserve"> (</w:t>
      </w:r>
      <w:r>
        <w:rPr>
          <w:lang w:val="en-US"/>
        </w:rPr>
        <w:t>ADLAR</w:t>
      </w:r>
      <w:r>
        <w:rPr/>
        <w:t xml:space="preserve"> = 0).</w:t>
      </w:r>
    </w:p>
    <w:p>
      <w:pPr>
        <w:pStyle w:val="Heading3"/>
        <w:rPr>
          <w:lang w:val="en-US"/>
        </w:rPr>
      </w:pPr>
      <w:bookmarkStart w:id="7" w:name="_Toc482867899"/>
      <w:bookmarkEnd w:id="7"/>
      <w:r>
        <w:rPr>
          <w:lang w:val="en-US"/>
        </w:rPr>
        <w:t>Point-to-Point protocol (PtP)</w:t>
      </w:r>
    </w:p>
    <w:tbl>
      <w:tblPr>
        <w:tblStyle w:val="a3"/>
        <w:tblW w:w="7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0"/>
        <w:gridCol w:w="1268"/>
        <w:gridCol w:w="1121"/>
        <w:gridCol w:w="973"/>
        <w:gridCol w:w="1143"/>
        <w:gridCol w:w="1134"/>
        <w:gridCol w:w="1275"/>
      </w:tblGrid>
      <w:tr>
        <w:trPr/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1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 приёмника</w:t>
            </w:r>
          </w:p>
        </w:tc>
        <w:tc>
          <w:tcPr>
            <w:tcW w:w="1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Счетчик пакетов</w:t>
            </w:r>
          </w:p>
        </w:tc>
        <w:tc>
          <w:tcPr>
            <w:tcW w:w="9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# </w:t>
            </w:r>
            <w:r>
              <w:rPr/>
              <w:t>старт</w:t>
            </w:r>
          </w:p>
        </w:tc>
        <w:tc>
          <w:tcPr>
            <w:tcW w:w="1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>
              <w:rPr/>
              <w:t>пауза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# </w:t>
            </w:r>
            <w:r>
              <w:rPr/>
              <w:t>сброс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>
        <w:trPr>
          <w:trHeight w:val="584" w:hRule="atLeast"/>
        </w:trPr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Длина</w:t>
            </w:r>
          </w:p>
        </w:tc>
        <w:tc>
          <w:tcPr>
            <w:tcW w:w="1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>
      <w:pPr>
        <w:pStyle w:val="Normal"/>
        <w:spacing w:before="240" w:after="200"/>
        <w:jc w:val="both"/>
        <w:rPr/>
      </w:pPr>
      <w:r>
        <w:rPr/>
        <w:t>В поле «адрес приемника» содержится адрес сервера (</w:t>
      </w:r>
      <w:r>
        <w:rPr>
          <w:lang w:val="en-US"/>
        </w:rPr>
        <w:t>Master</w:t>
      </w:r>
      <w:r>
        <w:rPr/>
        <w:t>).</w:t>
      </w:r>
    </w:p>
    <w:p>
      <w:pPr>
        <w:pStyle w:val="Normal"/>
        <w:spacing w:before="240" w:after="200"/>
        <w:jc w:val="both"/>
        <w:rPr/>
      </w:pPr>
      <w:r>
        <w:rPr/>
        <w:t>В поле счетчика пакетов содержится информация о номере переданного пакета-дубликата (в случае отсутствия подтверждения от сервера).</w:t>
      </w:r>
    </w:p>
    <w:p>
      <w:pPr>
        <w:pStyle w:val="Normal"/>
        <w:spacing w:before="240" w:after="200"/>
        <w:jc w:val="both"/>
        <w:rPr/>
      </w:pPr>
      <w:r>
        <w:rPr/>
        <w:t>В поле «старт» содержится значение (0 или 1), которое является флагом запуска работы таймера.</w:t>
      </w:r>
    </w:p>
    <w:p>
      <w:pPr>
        <w:pStyle w:val="Normal"/>
        <w:spacing w:before="240" w:after="200"/>
        <w:jc w:val="both"/>
        <w:rPr/>
      </w:pPr>
      <w:r>
        <w:rPr/>
        <w:t xml:space="preserve">В поле «пауза» содержится значение (0 или 1), которое является флагом приостановки работы таймера для устройства в отдельности. </w:t>
      </w:r>
    </w:p>
    <w:p>
      <w:pPr>
        <w:pStyle w:val="Normal"/>
        <w:spacing w:before="240" w:after="200"/>
        <w:jc w:val="both"/>
        <w:rPr/>
      </w:pPr>
      <w:r>
        <w:rPr/>
        <w:t xml:space="preserve">В поле «сброс» содержится значение (0 или 1), которое является флагом остановки работы таймера. </w:t>
      </w:r>
    </w:p>
    <w:p>
      <w:pPr>
        <w:pStyle w:val="Normal"/>
        <w:spacing w:before="240" w:after="200"/>
        <w:jc w:val="both"/>
        <w:rPr/>
      </w:pPr>
      <w:r>
        <w:rPr/>
        <w:t xml:space="preserve">Поле </w:t>
      </w:r>
      <w:r>
        <w:rPr>
          <w:lang w:val="en-US"/>
        </w:rPr>
        <w:t>Reserved</w:t>
      </w:r>
      <w:r>
        <w:rPr/>
        <w:t xml:space="preserve"> размером в 1 байт содержит зарезервированное место для будущих нужд. По умолчанию заполняется нулями (0</w:t>
      </w:r>
      <w:r>
        <w:rPr>
          <w:lang w:val="en-US"/>
        </w:rPr>
        <w:t>b</w:t>
      </w:r>
      <w:r>
        <w:rPr/>
        <w:t>00000000).</w:t>
      </w:r>
    </w:p>
    <w:p>
      <w:pPr>
        <w:pStyle w:val="Normal"/>
        <w:rPr/>
      </w:pPr>
      <w:r>
        <w:rPr/>
        <w:t>Пакет ответа от сервера имеет следующий формат:</w:t>
      </w:r>
    </w:p>
    <w:tbl>
      <w:tblPr>
        <w:tblStyle w:val="a3"/>
        <w:tblW w:w="4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0"/>
        <w:gridCol w:w="1268"/>
        <w:gridCol w:w="972"/>
        <w:gridCol w:w="991"/>
      </w:tblGrid>
      <w:tr>
        <w:trPr/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1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 приемника</w:t>
            </w:r>
          </w:p>
        </w:tc>
        <w:tc>
          <w:tcPr>
            <w:tcW w:w="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R” (0x44)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#</w:t>
            </w:r>
            <w:r>
              <w:rPr/>
              <w:t xml:space="preserve"> запроса</w:t>
            </w:r>
          </w:p>
        </w:tc>
      </w:tr>
      <w:tr>
        <w:trPr/>
        <w:tc>
          <w:tcPr>
            <w:tcW w:w="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Длина</w:t>
            </w:r>
          </w:p>
        </w:tc>
        <w:tc>
          <w:tcPr>
            <w:tcW w:w="1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>
      <w:pPr>
        <w:pStyle w:val="Normal"/>
        <w:spacing w:before="240" w:after="200"/>
        <w:jc w:val="both"/>
        <w:rPr/>
      </w:pPr>
      <w:r>
        <w:rPr/>
        <w:t>В адресе приемника указывается адрес пульта-получателя пакета ответа.</w:t>
      </w:r>
    </w:p>
    <w:p>
      <w:pPr>
        <w:pStyle w:val="Normal"/>
        <w:spacing w:before="240" w:after="200"/>
        <w:jc w:val="both"/>
        <w:rPr/>
      </w:pPr>
      <w:r>
        <w:rPr/>
        <w:t xml:space="preserve">В поле запроса помещается информация о номере </w:t>
      </w:r>
      <w:r>
        <w:rPr>
          <w:lang w:val="en-US"/>
        </w:rPr>
        <w:t>PtP</w:t>
      </w:r>
      <w:r>
        <w:rPr/>
        <w:t>-пакета, на который отправляется подтверждение.</w:t>
      </w:r>
    </w:p>
    <w:p>
      <w:pPr>
        <w:pStyle w:val="Heading1"/>
        <w:rPr/>
      </w:pPr>
      <w:bookmarkStart w:id="8" w:name="_Toc482867900"/>
      <w:bookmarkEnd w:id="8"/>
      <w:r>
        <w:rPr/>
        <w:t>Принципы связи</w:t>
      </w:r>
    </w:p>
    <w:p>
      <w:pPr>
        <w:pStyle w:val="Heading2"/>
        <w:rPr/>
      </w:pPr>
      <w:bookmarkStart w:id="9" w:name="_Toc482867901"/>
      <w:bookmarkEnd w:id="9"/>
      <w:r>
        <w:rPr/>
        <w:t>Поддержка канала</w:t>
      </w:r>
    </w:p>
    <w:p>
      <w:pPr>
        <w:pStyle w:val="Normal"/>
        <w:jc w:val="both"/>
        <w:rPr/>
      </w:pPr>
      <w:r>
        <w:rPr/>
        <w:t xml:space="preserve">Каждое устройство сети с частотой 2 Гц посылает серверу </w:t>
      </w:r>
      <w:r>
        <w:rPr>
          <w:lang w:val="en-US"/>
        </w:rPr>
        <w:t>AP</w:t>
      </w:r>
      <w:r>
        <w:rPr/>
        <w:t xml:space="preserve">-пакеты для поддержки связи по каналу и мониторинга своей активности с предоставлением информации об уровне заряда своей батареи. Это необходимо для детектирования наличия подключения, поскольку интерфейс </w:t>
      </w:r>
      <w:r>
        <w:rPr>
          <w:lang w:val="en-US"/>
        </w:rPr>
        <w:t>RS</w:t>
      </w:r>
      <w:r>
        <w:rPr/>
        <w:t>-232/422/485 не имеет каких-либо средств для проверки физической связи (</w:t>
      </w:r>
      <w:r>
        <w:rPr>
          <w:lang w:val="en-US"/>
        </w:rPr>
        <w:t>phys</w:t>
      </w:r>
      <w:r>
        <w:rPr/>
        <w:t xml:space="preserve"> </w:t>
      </w:r>
      <w:r>
        <w:rPr>
          <w:lang w:val="en-US"/>
        </w:rPr>
        <w:t>link</w:t>
      </w:r>
      <w:r>
        <w:rPr/>
        <w:t>).</w:t>
      </w:r>
    </w:p>
    <w:p>
      <w:pPr>
        <w:pStyle w:val="Normal"/>
        <w:jc w:val="both"/>
        <w:rPr>
          <w:lang w:val="en-US"/>
        </w:rPr>
      </w:pPr>
      <w:r>
        <w:rPr/>
        <w:t xml:space="preserve">Привязка порта ввода/вывода к устройству сохраняется не более 1 секунды. Если на порт ввода/вывода сервера не поступали </w:t>
      </w:r>
      <w:r>
        <w:rPr>
          <w:lang w:val="en-US"/>
        </w:rPr>
        <w:t>AP</w:t>
      </w:r>
      <w:r>
        <w:rPr/>
        <w:t xml:space="preserve">-пакеты 1 секунды и более, порт «отвязывается» от устройства, а канал приёма считается отказавшим. Выдается сообщение об ошибке. </w:t>
      </w:r>
    </w:p>
    <w:p>
      <w:pPr>
        <w:pStyle w:val="Normal"/>
        <w:jc w:val="both"/>
        <w:rPr/>
      </w:pPr>
      <w:r>
        <w:rPr/>
        <w:t>На пакеты поддержки связи сервер не отвечает.</w:t>
      </w:r>
    </w:p>
    <w:p>
      <w:pPr>
        <w:pStyle w:val="Heading2"/>
        <w:rPr/>
      </w:pPr>
      <w:bookmarkStart w:id="10" w:name="_Toc482867902"/>
      <w:bookmarkEnd w:id="10"/>
      <w:r>
        <w:rPr/>
        <w:t>Передача данных</w:t>
      </w:r>
    </w:p>
    <w:p>
      <w:pPr>
        <w:pStyle w:val="Normal"/>
        <w:jc w:val="both"/>
        <w:rPr/>
      </w:pPr>
      <w:r>
        <w:rPr/>
        <w:t xml:space="preserve">При осуществлении совместного нажатия кнопки старт/стоп с кнопкой подтверждения устройство посылает серверу </w:t>
      </w:r>
      <w:r>
        <w:rPr>
          <w:lang w:val="en-US"/>
        </w:rPr>
        <w:t>PtP</w:t>
      </w:r>
      <w:r>
        <w:rPr/>
        <w:t xml:space="preserve">-пакет с командой на выполнения запуска/паузы/остановки работы таймера. В ответ от сервера должен прийти пакет подтверждения, в случае получения пакета подтверждения передача клиентом </w:t>
      </w:r>
      <w:r>
        <w:rPr>
          <w:lang w:val="en-US"/>
        </w:rPr>
        <w:t>PtP</w:t>
      </w:r>
      <w:r>
        <w:rPr/>
        <w:t xml:space="preserve">-пакета считается завершенной, иначе происходит повторная передача. </w:t>
      </w:r>
    </w:p>
    <w:p>
      <w:pPr>
        <w:pStyle w:val="Normal"/>
        <w:jc w:val="both"/>
        <w:rPr/>
      </w:pPr>
      <w:r>
        <w:rPr/>
        <w:t>Запуск таймера осуществляется при совместном нажатии кнопки «старт» и кнопки подтверждения.</w:t>
      </w:r>
    </w:p>
    <w:p>
      <w:pPr>
        <w:pStyle w:val="Normal"/>
        <w:jc w:val="both"/>
        <w:rPr/>
      </w:pPr>
      <w:r>
        <w:rPr/>
        <w:t>Пауза в работе таймера осуществляется при повторном совместном нажатии кнопки «старт» и кнопки подтверждения. При получении команды «пауза» сервер выделяет для устройства отдельное независимое окно с собственным таймером. Для закрытия дополнительно выделенного окна необходимо осуществить повторное совместном нажатие кнопки «старт» и кнопки подтверждения.</w:t>
      </w:r>
    </w:p>
    <w:p>
      <w:pPr>
        <w:pStyle w:val="Normal"/>
        <w:jc w:val="both"/>
        <w:rPr/>
      </w:pPr>
      <w:r>
        <w:rPr/>
        <w:t>Остановка работы таймера и осуществляется при совместном однократном нажатии кнопки «стоп» и кнопки подтверждения. Для обновления и сброса таймера необходимо повторно нажать кнопку «стоп» и кнопку подтверждения.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rPr/>
      </w:pPr>
      <w:bookmarkStart w:id="11" w:name="_Toc482867903"/>
      <w:bookmarkEnd w:id="11"/>
      <w:r>
        <w:rPr/>
        <w:t>Структура сети</w:t>
      </w:r>
    </w:p>
    <w:p>
      <w:pPr>
        <w:pStyle w:val="Normal"/>
        <w:rPr/>
      </w:pPr>
      <w:r>
        <w:rPr/>
        <w:t xml:space="preserve">Сеть коммуникации устройств строится по структуре «звезда». </w:t>
      </w:r>
    </w:p>
    <w:p>
      <w:pPr>
        <w:pStyle w:val="Normal"/>
        <w:rPr/>
      </w:pPr>
      <w:r>
        <w:rPr/>
        <w:t xml:space="preserve">Каждый </w:t>
      </w:r>
      <w:r>
        <w:rPr>
          <w:lang w:val="en-US"/>
        </w:rPr>
        <w:t>Slave</w:t>
      </w:r>
      <w:r>
        <w:rPr/>
        <w:t xml:space="preserve"> имеет в качестве своих параметров значения </w:t>
      </w:r>
      <w:r>
        <w:rPr>
          <w:lang w:val="en-US"/>
        </w:rPr>
        <w:t>Mode</w:t>
      </w:r>
      <w:r>
        <w:rPr/>
        <w:t xml:space="preserve">, </w:t>
      </w:r>
      <w:r>
        <w:rPr>
          <w:lang w:val="en-US"/>
        </w:rPr>
        <w:t>Baudrate</w:t>
      </w:r>
      <w:r>
        <w:rPr/>
        <w:t xml:space="preserve">, </w:t>
      </w:r>
      <w:r>
        <w:rPr>
          <w:lang w:val="en-US"/>
        </w:rPr>
        <w:t>Communication</w:t>
      </w:r>
      <w:r>
        <w:rPr/>
        <w:t xml:space="preserve"> </w:t>
      </w:r>
      <w:r>
        <w:rPr>
          <w:lang w:val="en-US"/>
        </w:rPr>
        <w:t>Channel</w:t>
      </w:r>
      <w:r>
        <w:rPr/>
        <w:t xml:space="preserve">,  </w:t>
      </w:r>
      <w:r>
        <w:rPr>
          <w:lang w:val="en-US"/>
        </w:rPr>
        <w:t>Address</w:t>
      </w:r>
      <w:r>
        <w:rPr/>
        <w:t>. Перечисленные параметры должны совпадать у каждого участника сети.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729B252E">
                <wp:simplePos x="0" y="0"/>
                <wp:positionH relativeFrom="column">
                  <wp:posOffset>2922270</wp:posOffset>
                </wp:positionH>
                <wp:positionV relativeFrom="paragraph">
                  <wp:posOffset>252095</wp:posOffset>
                </wp:positionV>
                <wp:extent cx="600710" cy="518795"/>
                <wp:effectExtent l="0" t="0" r="28575" b="15240"/>
                <wp:wrapNone/>
                <wp:docPr id="1" name="Овал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18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n-US"/>
                              </w:rPr>
                              <w:t>Sl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7" fillcolor="white" stroked="t" style="position:absolute;margin-left:230.1pt;margin-top:19.85pt;width:47.2pt;height:40.75pt" wp14:anchorId="729B252E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lang w:val="en-US"/>
                        </w:rPr>
                        <w:t>Sl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ave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3401C91">
                <wp:simplePos x="0" y="0"/>
                <wp:positionH relativeFrom="column">
                  <wp:posOffset>2441575</wp:posOffset>
                </wp:positionH>
                <wp:positionV relativeFrom="paragraph">
                  <wp:posOffset>501015</wp:posOffset>
                </wp:positionV>
                <wp:extent cx="1549400" cy="1644650"/>
                <wp:effectExtent l="19050" t="38100" r="13335" b="32385"/>
                <wp:wrapNone/>
                <wp:docPr id="3" name="5-конечная звезд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16441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5-конечная звезда 1" fillcolor="#4f81bd" stroked="t" style="position:absolute;margin-left:192.25pt;margin-top:39.45pt;width:121.9pt;height:129.4pt" wp14:anchorId="13401C91" type="shapetype_12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6A7ED0F">
                <wp:simplePos x="0" y="0"/>
                <wp:positionH relativeFrom="column">
                  <wp:posOffset>2919730</wp:posOffset>
                </wp:positionH>
                <wp:positionV relativeFrom="paragraph">
                  <wp:posOffset>1128395</wp:posOffset>
                </wp:positionV>
                <wp:extent cx="614680" cy="553085"/>
                <wp:effectExtent l="0" t="0" r="14605" b="19050"/>
                <wp:wrapNone/>
                <wp:docPr id="4" name="Овал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60" cy="5526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2" fillcolor="white" stroked="t" style="position:absolute;margin-left:229.9pt;margin-top:88.85pt;width:48.3pt;height:43.45pt" wp14:anchorId="46A7ED0F">
                <w10:wrap type="square"/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Master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5C29F8A">
                <wp:simplePos x="0" y="0"/>
                <wp:positionH relativeFrom="column">
                  <wp:posOffset>3991610</wp:posOffset>
                </wp:positionH>
                <wp:positionV relativeFrom="paragraph">
                  <wp:posOffset>752475</wp:posOffset>
                </wp:positionV>
                <wp:extent cx="600710" cy="518795"/>
                <wp:effectExtent l="0" t="0" r="28575" b="15240"/>
                <wp:wrapNone/>
                <wp:docPr id="6" name="Овал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18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n-US"/>
                              </w:rPr>
                              <w:t>Sl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" fillcolor="white" stroked="t" style="position:absolute;margin-left:314.3pt;margin-top:59.25pt;width:47.2pt;height:40.75pt" wp14:anchorId="75C29F8A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lang w:val="en-US"/>
                        </w:rPr>
                        <w:t>Sl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ave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88F6F2C">
                <wp:simplePos x="0" y="0"/>
                <wp:positionH relativeFrom="column">
                  <wp:posOffset>3720465</wp:posOffset>
                </wp:positionH>
                <wp:positionV relativeFrom="paragraph">
                  <wp:posOffset>1927860</wp:posOffset>
                </wp:positionV>
                <wp:extent cx="600710" cy="518795"/>
                <wp:effectExtent l="0" t="0" r="28575" b="15240"/>
                <wp:wrapNone/>
                <wp:docPr id="8" name="Овал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18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n-US"/>
                              </w:rPr>
                              <w:t>Sl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4" fillcolor="white" stroked="t" style="position:absolute;margin-left:292.95pt;margin-top:151.8pt;width:47.2pt;height:40.75pt" wp14:anchorId="588F6F2C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lang w:val="en-US"/>
                        </w:rPr>
                        <w:t>Sl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ave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D7E14DA">
                <wp:simplePos x="0" y="0"/>
                <wp:positionH relativeFrom="column">
                  <wp:posOffset>1795780</wp:posOffset>
                </wp:positionH>
                <wp:positionV relativeFrom="paragraph">
                  <wp:posOffset>788670</wp:posOffset>
                </wp:positionV>
                <wp:extent cx="600710" cy="518795"/>
                <wp:effectExtent l="0" t="0" r="28575" b="15240"/>
                <wp:wrapNone/>
                <wp:docPr id="10" name="Овал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18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n-US"/>
                              </w:rPr>
                              <w:t>Sl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5" fillcolor="white" stroked="t" style="position:absolute;margin-left:141.4pt;margin-top:62.1pt;width:47.2pt;height:40.75pt" wp14:anchorId="3D7E14DA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lang w:val="en-US"/>
                        </w:rPr>
                        <w:t>Sl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ave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05E346C3">
                <wp:simplePos x="0" y="0"/>
                <wp:positionH relativeFrom="column">
                  <wp:posOffset>2117090</wp:posOffset>
                </wp:positionH>
                <wp:positionV relativeFrom="paragraph">
                  <wp:posOffset>1962150</wp:posOffset>
                </wp:positionV>
                <wp:extent cx="600710" cy="518795"/>
                <wp:effectExtent l="0" t="0" r="28575" b="15240"/>
                <wp:wrapNone/>
                <wp:docPr id="12" name="Овал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18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n-US"/>
                              </w:rPr>
                              <w:t>Sl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6" fillcolor="white" stroked="t" style="position:absolute;margin-left:166.7pt;margin-top:154.5pt;width:47.2pt;height:40.75pt" wp14:anchorId="05E346C3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lang w:val="en-US"/>
                        </w:rPr>
                        <w:t>Sl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ave</w:t>
                      </w:r>
                    </w:p>
                  </w:txbxContent>
                </v:textbox>
              </v:oval>
            </w:pict>
          </mc:Fallback>
        </mc:AlternateContent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238028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655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18314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18314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unhideWhenUsed/>
    <w:qFormat/>
    <w:rsid w:val="005f000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31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831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465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5f000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10" w:customStyle="1">
    <w:name w:val="Верхний колонтитул Знак"/>
    <w:basedOn w:val="DefaultParagraphFont"/>
    <w:link w:val="a6"/>
    <w:uiPriority w:val="99"/>
    <w:qFormat/>
    <w:rsid w:val="00d87b47"/>
    <w:rPr/>
  </w:style>
  <w:style w:type="character" w:styleId="Style11" w:customStyle="1">
    <w:name w:val="Нижний колонтитул Знак"/>
    <w:basedOn w:val="DefaultParagraphFont"/>
    <w:link w:val="a8"/>
    <w:uiPriority w:val="99"/>
    <w:qFormat/>
    <w:rsid w:val="00d87b47"/>
    <w:rPr/>
  </w:style>
  <w:style w:type="character" w:styleId="Style12" w:customStyle="1">
    <w:name w:val="Подзаголовок Знак"/>
    <w:basedOn w:val="DefaultParagraphFont"/>
    <w:link w:val="aa"/>
    <w:uiPriority w:val="11"/>
    <w:qFormat/>
    <w:rsid w:val="003c6821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452ef1"/>
    <w:rPr>
      <w:color w:val="0000FF" w:themeColor="hyperlink"/>
      <w:u w:val="single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452ef1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unhideWhenUsed/>
    <w:qFormat/>
    <w:rsid w:val="008e5cbb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e44b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7"/>
    <w:uiPriority w:val="99"/>
    <w:unhideWhenUsed/>
    <w:rsid w:val="00d87b4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d87b4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"/>
    <w:link w:val="ab"/>
    <w:uiPriority w:val="11"/>
    <w:qFormat/>
    <w:rsid w:val="003c6821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452ef1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452ef1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452ef1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452ef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452e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8314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C39B5-952B-4FA5-91D5-589D4C2B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LibreOffice/5.1.6.2$Linux_X86_64 LibreOffice_project/10m0$Build-2</Application>
  <Pages>4</Pages>
  <Words>614</Words>
  <Characters>3912</Characters>
  <CharactersWithSpaces>4431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2017-05-18T04:44:00Z</dcterms:created>
  <dc:creator>Федор Бобков</dc:creator>
  <dc:description/>
  <dc:language>en-US</dc:language>
  <cp:lastModifiedBy/>
  <cp:lastPrinted>2017-05-18T07:55:00Z</cp:lastPrinted>
  <dcterms:modified xsi:type="dcterms:W3CDTF">2017-05-19T15:20:33Z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