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32" w:rsidRDefault="00541E32" w:rsidP="00541E32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r>
        <w:rPr>
          <w:b/>
          <w:lang w:val="ru-RU"/>
        </w:rPr>
        <w:t xml:space="preserve">7  </w:t>
      </w:r>
      <w:r>
        <w:rPr>
          <w:lang w:val="ru-RU"/>
        </w:rPr>
        <w:t xml:space="preserve">ТЕХНИКО-ЭКОНОМИЧЕСКОЕ ОБОСНОВАНИЕ                    ЭФФЕКТИВНОСТИ РАЗРАБОТКИ И РЕАЛИЗАЦИИ </w:t>
      </w:r>
      <w:r w:rsidR="001E4B70">
        <w:rPr>
          <w:lang w:val="ru-RU"/>
        </w:rPr>
        <w:t xml:space="preserve">ПРОГРАММНОГО СРЕДСТВА </w:t>
      </w:r>
      <w:r w:rsidR="00E4687D">
        <w:rPr>
          <w:lang w:val="ru-RU"/>
        </w:rPr>
        <w:t>ОБЕСПЕЧЕНИЯ ПОДДЕРЖКИ КЛИЕНТОВ</w:t>
      </w:r>
      <w:bookmarkStart w:id="0" w:name="_GoBack"/>
      <w:bookmarkEnd w:id="0"/>
    </w:p>
    <w:p w:rsidR="00541E32" w:rsidRDefault="00541E32" w:rsidP="00541E32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Pr="00541E32" w:rsidRDefault="00541E32" w:rsidP="00541E32">
      <w:pPr>
        <w:pStyle w:val="a3"/>
        <w:keepNext/>
        <w:keepLines/>
        <w:numPr>
          <w:ilvl w:val="0"/>
          <w:numId w:val="1"/>
        </w:numPr>
        <w:spacing w:before="40"/>
        <w:contextualSpacing w:val="0"/>
        <w:jc w:val="left"/>
        <w:outlineLvl w:val="1"/>
        <w:rPr>
          <w:rFonts w:eastAsiaTheme="majorEastAsia" w:cstheme="majorBidi"/>
          <w:vanish/>
          <w:color w:val="000000" w:themeColor="text1"/>
          <w:szCs w:val="26"/>
          <w:lang w:val="ru-RU"/>
        </w:rPr>
      </w:pPr>
    </w:p>
    <w:p w:rsidR="00541E32" w:rsidRDefault="00541E32" w:rsidP="00541E32">
      <w:pPr>
        <w:pStyle w:val="2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 xml:space="preserve"> Характеристика программного продукта</w:t>
      </w:r>
    </w:p>
    <w:p w:rsidR="00541E32" w:rsidRDefault="00541E32" w:rsidP="00541E32">
      <w:pPr>
        <w:ind w:left="646"/>
        <w:rPr>
          <w:lang w:val="ru-RU"/>
        </w:rPr>
      </w:pPr>
    </w:p>
    <w:p w:rsidR="0001229E" w:rsidRPr="0001229E" w:rsidRDefault="0001229E" w:rsidP="0076116A">
      <w:pPr>
        <w:spacing w:after="0"/>
        <w:ind w:firstLine="708"/>
        <w:rPr>
          <w:rFonts w:eastAsia="Times New Roman"/>
          <w:color w:val="000000"/>
          <w:szCs w:val="28"/>
          <w:lang w:val="ru-RU" w:eastAsia="ru-RU"/>
        </w:rPr>
      </w:pPr>
      <w:r w:rsidRPr="0001229E">
        <w:rPr>
          <w:lang w:val="ru-RU"/>
        </w:rPr>
        <w:t>Целью дипломного проекта является разработка</w:t>
      </w:r>
      <w:r>
        <w:rPr>
          <w:lang w:val="ru-RU"/>
        </w:rPr>
        <w:t xml:space="preserve"> </w:t>
      </w:r>
      <w:r w:rsidRPr="0001229E">
        <w:rPr>
          <w:rFonts w:eastAsia="Times New Roman"/>
          <w:color w:val="000000"/>
          <w:szCs w:val="28"/>
          <w:lang w:val="ru-RU" w:eastAsia="ru-RU"/>
        </w:rPr>
        <w:t>программно</w:t>
      </w:r>
      <w:r>
        <w:rPr>
          <w:rFonts w:eastAsia="Times New Roman"/>
          <w:color w:val="000000"/>
          <w:szCs w:val="28"/>
          <w:lang w:val="ru-RU" w:eastAsia="ru-RU"/>
        </w:rPr>
        <w:t>го</w:t>
      </w:r>
      <w:r w:rsidRPr="0001229E">
        <w:rPr>
          <w:rFonts w:eastAsia="Times New Roman"/>
          <w:color w:val="000000"/>
          <w:szCs w:val="28"/>
          <w:lang w:val="ru-RU" w:eastAsia="ru-RU"/>
        </w:rPr>
        <w:t xml:space="preserve"> средств</w:t>
      </w:r>
      <w:r>
        <w:rPr>
          <w:rFonts w:eastAsia="Times New Roman"/>
          <w:color w:val="000000"/>
          <w:szCs w:val="28"/>
          <w:lang w:val="ru-RU" w:eastAsia="ru-RU"/>
        </w:rPr>
        <w:t>а</w:t>
      </w:r>
      <w:r w:rsidRPr="0001229E">
        <w:rPr>
          <w:rFonts w:eastAsia="Times New Roman"/>
          <w:color w:val="000000"/>
          <w:szCs w:val="28"/>
          <w:lang w:val="ru-RU" w:eastAsia="ru-RU"/>
        </w:rPr>
        <w:t xml:space="preserve">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eastAsia="Times New Roman"/>
          <w:color w:val="000000"/>
          <w:szCs w:val="28"/>
          <w:lang w:eastAsia="ru-RU"/>
        </w:rPr>
        <w:t>helpdesk</w:t>
      </w:r>
      <w:r w:rsidRPr="0001229E">
        <w:rPr>
          <w:rFonts w:eastAsia="Times New Roman"/>
          <w:color w:val="000000"/>
          <w:szCs w:val="28"/>
          <w:lang w:val="ru-RU" w:eastAsia="ru-RU"/>
        </w:rPr>
        <w:t xml:space="preserve">, так и анонимная помощь, с помощью которой клиент может написать на почту и получить анонимный ответ. Ранжирование обратной связи пользователей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актуальные. </w:t>
      </w:r>
      <w:r w:rsidR="0076116A" w:rsidRPr="0076116A">
        <w:rPr>
          <w:rFonts w:eastAsia="Times New Roman"/>
          <w:color w:val="000000"/>
          <w:szCs w:val="28"/>
          <w:lang w:val="ru-RU" w:eastAsia="ru-RU"/>
        </w:rPr>
        <w:t>Предполагаемыми пользователями данного</w:t>
      </w:r>
      <w:r w:rsidR="0076116A">
        <w:rPr>
          <w:rFonts w:eastAsia="Times New Roman"/>
          <w:color w:val="000000"/>
          <w:szCs w:val="28"/>
          <w:lang w:val="ru-RU" w:eastAsia="ru-RU"/>
        </w:rPr>
        <w:t xml:space="preserve"> программного продукта являются </w:t>
      </w:r>
      <w:r w:rsidR="0076116A" w:rsidRPr="0076116A">
        <w:rPr>
          <w:rFonts w:eastAsia="Times New Roman"/>
          <w:color w:val="000000"/>
          <w:szCs w:val="28"/>
          <w:lang w:val="ru-RU" w:eastAsia="ru-RU"/>
        </w:rPr>
        <w:t>IT-компании любого размера, которые в своем рабочем процессе используют</w:t>
      </w:r>
      <w:r w:rsidR="0076116A">
        <w:rPr>
          <w:rFonts w:eastAsia="Times New Roman"/>
          <w:color w:val="000000"/>
          <w:szCs w:val="28"/>
          <w:lang w:val="ru-RU" w:eastAsia="ru-RU"/>
        </w:rPr>
        <w:t xml:space="preserve"> подобные продукты для обеспечения обратной связи с клиентами.</w:t>
      </w:r>
    </w:p>
    <w:p w:rsidR="00541E32" w:rsidRDefault="00925697" w:rsidP="00541E32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для продажи копиями. </w:t>
      </w:r>
      <w:r w:rsidR="00541E32">
        <w:rPr>
          <w:lang w:val="ru-RU"/>
        </w:rPr>
        <w:t>Исходя из маркетингового исследования, лицензии на программный продукт будут востребованы на рынке в течении 4 л</w:t>
      </w:r>
      <w:r w:rsidR="0001229E">
        <w:rPr>
          <w:lang w:val="ru-RU"/>
        </w:rPr>
        <w:t>ет; в период с 2017 по</w:t>
      </w:r>
      <w:r w:rsidR="00541E32">
        <w:rPr>
          <w:lang w:val="ru-RU"/>
        </w:rPr>
        <w:t xml:space="preserve"> 2020 </w:t>
      </w:r>
      <w:r w:rsidR="0001229E">
        <w:rPr>
          <w:lang w:val="ru-RU"/>
        </w:rPr>
        <w:t>г. Планируется продавать по 100</w:t>
      </w:r>
      <w:r w:rsidR="00541E32">
        <w:rPr>
          <w:lang w:val="ru-RU"/>
        </w:rPr>
        <w:t xml:space="preserve"> лицензий в год. </w:t>
      </w:r>
    </w:p>
    <w:p w:rsidR="00541E32" w:rsidRDefault="00541E32" w:rsidP="00541E32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541E32" w:rsidRDefault="00541E32" w:rsidP="00541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541E32" w:rsidRDefault="00541E32" w:rsidP="00541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прибыль от реализации программного продукта;</w:t>
      </w:r>
    </w:p>
    <w:p w:rsidR="00541E32" w:rsidRDefault="00541E32" w:rsidP="00541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541E32" w:rsidRDefault="00541E32" w:rsidP="00541E32">
      <w:pPr>
        <w:ind w:left="709" w:firstLine="0"/>
        <w:rPr>
          <w:lang w:val="ru-RU"/>
        </w:rPr>
      </w:pPr>
    </w:p>
    <w:p w:rsidR="00541E32" w:rsidRDefault="00541E32" w:rsidP="00541E3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Расчёт сметы затрат и отпускной цены программного продукта</w:t>
      </w:r>
    </w:p>
    <w:p w:rsidR="00541E32" w:rsidRDefault="00541E32" w:rsidP="00541E32">
      <w:pPr>
        <w:rPr>
          <w:lang w:val="ru-RU"/>
        </w:rPr>
      </w:pPr>
    </w:p>
    <w:p w:rsidR="00541E32" w:rsidRDefault="00541E32" w:rsidP="00541E32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 определяется по формуле:</w:t>
      </w:r>
    </w:p>
    <w:p w:rsidR="00541E32" w:rsidRDefault="00541E32" w:rsidP="00541E32">
      <w:pPr>
        <w:ind w:left="635"/>
        <w:rPr>
          <w:lang w:val="ru-RU"/>
        </w:rPr>
      </w:pPr>
    </w:p>
    <w:p w:rsidR="00541E32" w:rsidRDefault="00541E32" w:rsidP="00541E32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                             </w:t>
      </w:r>
      <w:r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pt;height:38.85pt" o:ole="" fillcolor="window">
            <v:imagedata r:id="rId5" o:title=""/>
          </v:shape>
          <o:OLEObject Type="Embed" ProgID="Equation.DSMT4" ShapeID="_x0000_i1025" DrawAspect="Content" ObjectID="_1556180006" r:id="rId6"/>
        </w:object>
      </w:r>
      <w:r w:rsidRPr="003668FA">
        <w:rPr>
          <w:lang w:val="ru-RU"/>
        </w:rPr>
        <w:t xml:space="preserve">                                      (7.1)</w:t>
      </w:r>
    </w:p>
    <w:p w:rsidR="00541E32" w:rsidRPr="003668FA" w:rsidRDefault="00541E32" w:rsidP="00541E32">
      <w:pPr>
        <w:ind w:firstLine="635"/>
        <w:rPr>
          <w:lang w:val="ru-RU"/>
        </w:rPr>
      </w:pPr>
    </w:p>
    <w:p w:rsidR="00541E32" w:rsidRDefault="00541E32" w:rsidP="007F3B6E">
      <w:pPr>
        <w:spacing w:after="0"/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>
        <w:t>T</w:t>
      </w:r>
      <w:r w:rsidRPr="003668FA">
        <w:rPr>
          <w:vertAlign w:val="subscript"/>
          <w:lang w:val="ru-RU"/>
        </w:rPr>
        <w:t>Ч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(руб.);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Ф</w:t>
      </w:r>
      <w:r w:rsidRPr="003668FA">
        <w:rPr>
          <w:vertAlign w:val="subscript"/>
          <w:lang w:val="ru-RU"/>
        </w:rPr>
        <w:t>Э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эффективный фонд рабочего времени </w:t>
      </w:r>
      <w:proofErr w:type="spellStart"/>
      <w:r w:rsidRPr="002C6FD5">
        <w:t>i</w:t>
      </w:r>
      <w:proofErr w:type="spellEnd"/>
      <w:r w:rsidRPr="003668FA">
        <w:rPr>
          <w:lang w:val="ru-RU"/>
        </w:rPr>
        <w:t>-го исполнителя (дней);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lastRenderedPageBreak/>
        <w:t xml:space="preserve">     </w:t>
      </w:r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r w:rsidRPr="003668FA">
        <w:rPr>
          <w:lang w:val="ru-RU"/>
        </w:rPr>
        <w:t xml:space="preserve"> – количество часов работы в день (ч);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К – коэффициент премирования.</w:t>
      </w:r>
    </w:p>
    <w:p w:rsidR="00541E32" w:rsidRDefault="00541E32" w:rsidP="00541E32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41E32" w:rsidRDefault="00541E32" w:rsidP="00541E32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41E32" w:rsidRDefault="00541E32" w:rsidP="00541E32">
      <w:pPr>
        <w:ind w:firstLine="0"/>
        <w:rPr>
          <w:szCs w:val="28"/>
          <w:lang w:val="ru-RU"/>
        </w:rPr>
      </w:pPr>
    </w:p>
    <w:p w:rsidR="00541E32" w:rsidRDefault="00541E32" w:rsidP="00541E3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Расчёт основной заработной платы.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541E32" w:rsidTr="004535CE">
        <w:tc>
          <w:tcPr>
            <w:tcW w:w="183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Месяч-ная</w:t>
            </w:r>
            <w:proofErr w:type="spell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Плано</w:t>
            </w:r>
            <w:proofErr w:type="spellEnd"/>
            <w:r>
              <w:rPr>
                <w:szCs w:val="28"/>
                <w:lang w:val="ru-RU"/>
              </w:rPr>
              <w:t>-вый фонд рабочего времени</w:t>
            </w:r>
          </w:p>
        </w:tc>
        <w:tc>
          <w:tcPr>
            <w:tcW w:w="117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883,20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541E32" w:rsidTr="004535CE">
        <w:tc>
          <w:tcPr>
            <w:tcW w:w="1838" w:type="dxa"/>
          </w:tcPr>
          <w:p w:rsidR="00541E32" w:rsidRDefault="00541E32" w:rsidP="004535C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541E32" w:rsidRDefault="00541E32" w:rsidP="00851CA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289</w:t>
            </w:r>
            <w:r w:rsidR="00851CA9">
              <w:rPr>
                <w:szCs w:val="28"/>
              </w:rPr>
              <w:t>9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0</w:t>
            </w:r>
          </w:p>
        </w:tc>
      </w:tr>
    </w:tbl>
    <w:p w:rsidR="00541E32" w:rsidRPr="00E66BAD" w:rsidRDefault="00541E32" w:rsidP="00541E32">
      <w:pPr>
        <w:rPr>
          <w:szCs w:val="28"/>
        </w:rPr>
      </w:pPr>
    </w:p>
    <w:p w:rsidR="00541E32" w:rsidRDefault="00541E32" w:rsidP="00541E32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rPr>
          <w:szCs w:val="28"/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 id="_x0000_i1026" type="#_x0000_t75" style="width:72.45pt;height:37.1pt" o:ole="" fillcolor="window">
            <v:imagedata r:id="rId7" o:title=""/>
          </v:shape>
          <o:OLEObject Type="Embed" ProgID="Equation.DSMT4" ShapeID="_x0000_i1026" DrawAspect="Content" ObjectID="_1556180007" r:id="rId8"/>
        </w:object>
      </w:r>
      <w:r>
        <w:rPr>
          <w:lang w:val="ru-RU"/>
        </w:rPr>
        <w:t xml:space="preserve">                                                    (7.2)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Pr="008F20FC" w:rsidRDefault="00E4687D" w:rsidP="00541E32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2899,20∙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=434,85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541E32" w:rsidRDefault="00541E32" w:rsidP="00541E32">
      <w:pPr>
        <w:ind w:firstLine="0"/>
        <w:jc w:val="left"/>
        <w:rPr>
          <w:rFonts w:eastAsiaTheme="minorEastAsia"/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541E32" w:rsidRPr="00E07708" w:rsidRDefault="00541E32" w:rsidP="00541E32">
      <w:pPr>
        <w:ind w:firstLine="72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3.95pt;height:37.1pt" o:ole="" fillcolor="window">
            <v:imagedata r:id="rId9" o:title=""/>
          </v:shape>
          <o:OLEObject Type="Embed" ProgID="Equation.DSMT4" ShapeID="_x0000_i1027" DrawAspect="Content" ObjectID="_1556180008" r:id="rId10"/>
        </w:object>
      </w:r>
      <w:r>
        <w:rPr>
          <w:lang w:val="ru-RU"/>
        </w:rPr>
        <w:t xml:space="preserve">                                          (7.3)</w:t>
      </w:r>
    </w:p>
    <w:p w:rsidR="00541E32" w:rsidRDefault="00541E32" w:rsidP="00541E32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541E32" w:rsidRDefault="00541E32" w:rsidP="00541E32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541E32" w:rsidRDefault="00541E32" w:rsidP="00541E32">
      <w:pPr>
        <w:ind w:firstLine="720"/>
        <w:rPr>
          <w:lang w:val="ru-RU"/>
        </w:rPr>
      </w:pPr>
    </w:p>
    <w:p w:rsidR="00541E32" w:rsidRDefault="00851CA9" w:rsidP="00541E32">
      <w:pPr>
        <w:jc w:val="center"/>
        <w:rPr>
          <w:lang w:val="ru-RU"/>
        </w:rPr>
      </w:pPr>
      <w:r>
        <w:rPr>
          <w:position w:val="-28"/>
        </w:rPr>
        <w:object w:dxaOrig="5280" w:dyaOrig="720">
          <v:shape id="_x0000_i1028" type="#_x0000_t75" style="width:263.25pt;height:36.2pt" o:ole="" fillcolor="window">
            <v:imagedata r:id="rId11" o:title=""/>
          </v:shape>
          <o:OLEObject Type="Embed" ProgID="Equation.DSMT4" ShapeID="_x0000_i1028" DrawAspect="Content" ObjectID="_1556180009" r:id="rId12"/>
        </w:object>
      </w:r>
    </w:p>
    <w:p w:rsidR="00541E32" w:rsidRDefault="00541E32" w:rsidP="00541E32">
      <w:pPr>
        <w:rPr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541E32" w:rsidRDefault="00541E32" w:rsidP="00541E32">
      <w:pPr>
        <w:ind w:firstLine="720"/>
        <w:rPr>
          <w:lang w:val="ru-RU"/>
        </w:rPr>
      </w:pPr>
    </w:p>
    <w:p w:rsidR="00541E32" w:rsidRPr="004914D6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9" type="#_x0000_t75" style="width:110pt;height:20.3pt" o:ole="" fillcolor="window">
            <v:imagedata r:id="rId13" o:title=""/>
          </v:shape>
          <o:OLEObject Type="Embed" ProgID="Equation.DSMT4" ShapeID="_x0000_i1029" DrawAspect="Content" ObjectID="_1556180010" r:id="rId14"/>
        </w:object>
      </w:r>
      <w:r>
        <w:rPr>
          <w:lang w:val="ru-RU"/>
        </w:rPr>
        <w:t xml:space="preserve">                                           (7.4)</w:t>
      </w:r>
    </w:p>
    <w:p w:rsidR="00541E32" w:rsidRPr="00460167" w:rsidRDefault="00541E32" w:rsidP="00541E32">
      <w:pPr>
        <w:ind w:firstLine="0"/>
        <w:jc w:val="center"/>
        <w:rPr>
          <w:lang w:val="ru-RU"/>
        </w:rPr>
      </w:pP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Ц</w:t>
      </w:r>
      <w:r w:rsidRPr="003668FA">
        <w:rPr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С</w:t>
      </w:r>
      <w:r w:rsidRPr="003668FA">
        <w:rPr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541E32" w:rsidRDefault="00541E32" w:rsidP="00541E32">
      <w:pPr>
        <w:ind w:firstLine="0"/>
        <w:jc w:val="center"/>
        <w:rPr>
          <w:lang w:val="ru-RU"/>
        </w:rPr>
      </w:pPr>
      <w:r w:rsidRPr="004914D6">
        <w:rPr>
          <w:position w:val="-12"/>
        </w:rPr>
        <w:object w:dxaOrig="3600" w:dyaOrig="380">
          <v:shape id="_x0000_i1030" type="#_x0000_t75" style="width:179.35pt;height:19pt" o:ole="" fillcolor="window">
            <v:imagedata r:id="rId15" o:title=""/>
          </v:shape>
          <o:OLEObject Type="Embed" ProgID="Equation.DSMT4" ShapeID="_x0000_i1030" DrawAspect="Content" ObjectID="_1556180011" r:id="rId16"/>
        </w:objec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541E32" w:rsidRPr="004914D6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600" w:dyaOrig="720">
          <v:shape id="_x0000_i1031" type="#_x0000_t75" style="width:79.95pt;height:36.2pt" o:ole="" fillcolor="window">
            <v:imagedata r:id="rId17" o:title=""/>
          </v:shape>
          <o:OLEObject Type="Embed" ProgID="Equation.DSMT4" ShapeID="_x0000_i1031" DrawAspect="Content" ObjectID="_1556180012" r:id="rId18"/>
        </w:object>
      </w:r>
      <w:r>
        <w:rPr>
          <w:lang w:val="ru-RU"/>
        </w:rPr>
        <w:t xml:space="preserve">                                                  (7.5)</w: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541E32" w:rsidRDefault="009C5CB7" w:rsidP="00541E32">
      <w:pPr>
        <w:jc w:val="center"/>
      </w:pPr>
      <w:r>
        <w:rPr>
          <w:position w:val="-28"/>
        </w:rPr>
        <w:object w:dxaOrig="3820" w:dyaOrig="720">
          <v:shape id="_x0000_i1032" type="#_x0000_t75" style="width:190.4pt;height:36.2pt" o:ole="" fillcolor="window">
            <v:imagedata r:id="rId19" o:title=""/>
          </v:shape>
          <o:OLEObject Type="Embed" ProgID="Equation.DSMT4" ShapeID="_x0000_i1032" DrawAspect="Content" ObjectID="_1556180013" r:id="rId20"/>
        </w:objec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C21249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</w:t>
      </w:r>
      <w:r w:rsidR="009C5CB7">
        <w:rPr>
          <w:lang w:val="ru-RU"/>
        </w:rPr>
        <w:t xml:space="preserve">                  </w:t>
      </w:r>
      <w:r>
        <w:rPr>
          <w:lang w:val="ru-RU"/>
        </w:rPr>
        <w:t xml:space="preserve"> </w:t>
      </w:r>
      <w:r w:rsidR="009C5CB7" w:rsidRPr="004914D6">
        <w:rPr>
          <w:position w:val="-14"/>
        </w:rPr>
        <w:object w:dxaOrig="2720" w:dyaOrig="400">
          <v:shape id="_x0000_i1033" type="#_x0000_t75" style="width:140pt;height:20.3pt" o:ole="" fillcolor="window">
            <v:imagedata r:id="rId21" o:title=""/>
          </v:shape>
          <o:OLEObject Type="Embed" ProgID="Equation.DSMT4" ShapeID="_x0000_i1033" DrawAspect="Content" ObjectID="_1556180014" r:id="rId22"/>
        </w:object>
      </w:r>
      <w:r>
        <w:rPr>
          <w:lang w:val="ru-RU"/>
        </w:rPr>
        <w:t xml:space="preserve">                                      (7.6)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9C5CB7" w:rsidP="00541E32">
      <w:pPr>
        <w:ind w:firstLine="0"/>
        <w:rPr>
          <w:lang w:val="ru-RU"/>
        </w:rPr>
      </w:pPr>
      <w:r w:rsidRPr="00C21249">
        <w:rPr>
          <w:position w:val="-12"/>
        </w:rPr>
        <w:object w:dxaOrig="7839" w:dyaOrig="380">
          <v:shape id="_x0000_i1034" type="#_x0000_t75" style="width:391.35pt;height:19pt" o:ole="" fillcolor="window">
            <v:imagedata r:id="rId23" o:title=""/>
          </v:shape>
          <o:OLEObject Type="Embed" ProgID="Equation.DSMT4" ShapeID="_x0000_i1034" DrawAspect="Content" ObjectID="_1556180015" r:id="rId24"/>
        </w:objec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lastRenderedPageBreak/>
        <w:tab/>
        <w:t>Прогнозируемая прибыль рассчитывается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C21249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>
        <w:rPr>
          <w:position w:val="-28"/>
        </w:rPr>
        <w:object w:dxaOrig="1579" w:dyaOrig="760">
          <v:shape id="_x0000_i1035" type="#_x0000_t75" style="width:78.65pt;height:38.45pt" o:ole="" fillcolor="window">
            <v:imagedata r:id="rId25" o:title=""/>
          </v:shape>
          <o:OLEObject Type="Embed" ProgID="Equation.DSMT4" ShapeID="_x0000_i1035" DrawAspect="Content" ObjectID="_1556180016" r:id="rId26"/>
        </w:object>
      </w:r>
      <w:r>
        <w:rPr>
          <w:lang w:val="ru-RU"/>
        </w:rPr>
        <w:t xml:space="preserve">                                                   (7.7)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уровень рентабельности, 50%.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9C5CB7" w:rsidP="00541E32">
      <w:pPr>
        <w:ind w:firstLine="0"/>
        <w:jc w:val="center"/>
        <w:rPr>
          <w:lang w:val="ru-RU"/>
        </w:rPr>
      </w:pPr>
      <w:r>
        <w:rPr>
          <w:position w:val="-28"/>
        </w:rPr>
        <w:object w:dxaOrig="3820" w:dyaOrig="720">
          <v:shape id="_x0000_i1036" type="#_x0000_t75" style="width:190.4pt;height:36.2pt" o:ole="" fillcolor="window">
            <v:imagedata r:id="rId27" o:title=""/>
          </v:shape>
          <o:OLEObject Type="Embed" ProgID="Equation.DSMT4" ShapeID="_x0000_i1036" DrawAspect="Content" ObjectID="_1556180017" r:id="rId28"/>
        </w:objec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ED60E7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Pr="00ED60E7">
        <w:rPr>
          <w:position w:val="-12"/>
        </w:rPr>
        <w:object w:dxaOrig="1620" w:dyaOrig="380">
          <v:shape id="_x0000_i1037" type="#_x0000_t75" style="width:80.85pt;height:18.55pt" o:ole="" fillcolor="window">
            <v:imagedata r:id="rId29" o:title=""/>
          </v:shape>
          <o:OLEObject Type="Embed" ProgID="Equation.DSMT4" ShapeID="_x0000_i1037" DrawAspect="Content" ObjectID="_1556180018" r:id="rId30"/>
        </w:object>
      </w:r>
      <w:r>
        <w:rPr>
          <w:lang w:val="ru-RU"/>
        </w:rPr>
        <w:t xml:space="preserve">                                                    (7.8)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9C5CB7" w:rsidP="00541E32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540" w:dyaOrig="380">
          <v:shape id="_x0000_i1038" type="#_x0000_t75" style="width:226.15pt;height:18.55pt" o:ole="" fillcolor="window">
            <v:imagedata r:id="rId31" o:title=""/>
          </v:shape>
          <o:OLEObject Type="Embed" ProgID="Equation.DSMT4" ShapeID="_x0000_i1038" DrawAspect="Content" ObjectID="_1556180019" r:id="rId32"/>
        </w:objec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BF7DDC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</w:t>
      </w:r>
      <w:r>
        <w:rPr>
          <w:position w:val="-28"/>
        </w:rPr>
        <w:object w:dxaOrig="1920" w:dyaOrig="740">
          <v:shape id="_x0000_i1039" type="#_x0000_t75" style="width:95.85pt;height:37.55pt" o:ole="" fillcolor="window">
            <v:imagedata r:id="rId33" o:title=""/>
          </v:shape>
          <o:OLEObject Type="Embed" ProgID="Equation.DSMT4" ShapeID="_x0000_i1039" DrawAspect="Content" ObjectID="_1556180020" r:id="rId34"/>
        </w:object>
      </w:r>
      <w:r>
        <w:rPr>
          <w:lang w:val="ru-RU"/>
        </w:rPr>
        <w:t xml:space="preserve">                                                  (7.9)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541E32" w:rsidRDefault="004419F7" w:rsidP="00541E32">
      <w:pPr>
        <w:ind w:firstLine="0"/>
        <w:jc w:val="center"/>
        <w:rPr>
          <w:lang w:val="ru-RU"/>
        </w:rPr>
      </w:pPr>
      <w:r>
        <w:rPr>
          <w:position w:val="-28"/>
        </w:rPr>
        <w:object w:dxaOrig="4239" w:dyaOrig="720">
          <v:shape id="_x0000_i1040" type="#_x0000_t75" style="width:210.7pt;height:36.2pt" o:ole="" fillcolor="window">
            <v:imagedata r:id="rId35" o:title=""/>
          </v:shape>
          <o:OLEObject Type="Embed" ProgID="Equation.DSMT4" ShapeID="_x0000_i1040" DrawAspect="Content" ObjectID="_1556180021" r:id="rId36"/>
        </w:objec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3F2DE7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41" type="#_x0000_t75" style="width:126.75pt;height:18.55pt" o:ole="" fillcolor="window">
            <v:imagedata r:id="rId37" o:title=""/>
          </v:shape>
          <o:OLEObject Type="Embed" ProgID="Equation.DSMT4" ShapeID="_x0000_i1041" DrawAspect="Content" ObjectID="_1556180022" r:id="rId38"/>
        </w:object>
      </w:r>
      <w:r>
        <w:rPr>
          <w:lang w:val="ru-RU"/>
        </w:rPr>
        <w:t xml:space="preserve">                                       (7.10)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4419F7" w:rsidP="00541E32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840" w:dyaOrig="380">
          <v:shape id="_x0000_i1042" type="#_x0000_t75" style="width:291.55pt;height:18.55pt" o:ole="" fillcolor="window">
            <v:imagedata r:id="rId39" o:title=""/>
          </v:shape>
          <o:OLEObject Type="Embed" ProgID="Equation.DSMT4" ShapeID="_x0000_i1042" DrawAspect="Content" ObjectID="_1556180023" r:id="rId40"/>
        </w:objec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C21DE0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43" type="#_x0000_t75" style="width:113.95pt;height:38.85pt" o:ole="" fillcolor="window">
            <v:imagedata r:id="rId41" o:title=""/>
          </v:shape>
          <o:OLEObject Type="Embed" ProgID="Equation.DSMT4" ShapeID="_x0000_i1043" DrawAspect="Content" ObjectID="_1556180024" r:id="rId42"/>
        </w:object>
      </w:r>
      <w:r>
        <w:rPr>
          <w:lang w:val="ru-RU"/>
        </w:rPr>
        <w:t xml:space="preserve">                                          (7.11)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4419F7" w:rsidP="00541E32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60" w:dyaOrig="780">
          <v:shape id="_x0000_i1044" type="#_x0000_t75" style="width:227.5pt;height:38.85pt" o:ole="" fillcolor="window">
            <v:imagedata r:id="rId43" o:title=""/>
          </v:shape>
          <o:OLEObject Type="Embed" ProgID="Equation.DSMT4" ShapeID="_x0000_i1044" DrawAspect="Content" ObjectID="_1556180025" r:id="rId44"/>
        </w:objec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7"/>
        <w:gridCol w:w="1804"/>
        <w:gridCol w:w="2048"/>
        <w:gridCol w:w="2856"/>
      </w:tblGrid>
      <w:tr w:rsidR="00541E32" w:rsidTr="004535CE">
        <w:tc>
          <w:tcPr>
            <w:tcW w:w="2830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541E32" w:rsidRPr="00A831B7" w:rsidRDefault="00541E32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Default="008A6AF8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2899,20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5" type="#_x0000_t75" style="width:131.2pt;height:38.85pt" o:ole="" fillcolor="window">
                  <v:imagedata r:id="rId45" o:title=""/>
                </v:shape>
                <o:OLEObject Type="Embed" ProgID="Equation.DSMT4" ShapeID="_x0000_i1045" DrawAspect="Content" ObjectID="_1556180026" r:id="rId46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541E32" w:rsidRPr="00A831B7" w:rsidRDefault="00541E32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Default="008A6AF8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434,85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6" type="#_x0000_t75" style="width:68.9pt;height:37.55pt" o:ole="" fillcolor="window">
                  <v:imagedata r:id="rId47" o:title=""/>
                </v:shape>
                <o:OLEObject Type="Embed" ProgID="Equation.DSMT4" ShapeID="_x0000_i1046" DrawAspect="Content" ObjectID="_1556180027" r:id="rId48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541E32" w:rsidRPr="00A831B7" w:rsidRDefault="00541E32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Default="008A6AF8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1153,58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7" type="#_x0000_t75" style="width:109.55pt;height:37.55pt" o:ole="" fillcolor="window">
                  <v:imagedata r:id="rId49" o:title=""/>
                </v:shape>
                <o:OLEObject Type="Embed" ProgID="Equation.DSMT4" ShapeID="_x0000_i1047" DrawAspect="Content" ObjectID="_1556180028" r:id="rId50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541E32" w:rsidRPr="00A831B7" w:rsidRDefault="00541E32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8" type="#_x0000_t75" style="width:105.55pt;height:20.3pt" o:ole="" fillcolor="window">
                  <v:imagedata r:id="rId51" o:title=""/>
                </v:shape>
                <o:OLEObject Type="Embed" ProgID="Equation.DSMT4" ShapeID="_x0000_i1048" DrawAspect="Content" ObjectID="_1556180029" r:id="rId52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541E32" w:rsidRPr="00A831B7" w:rsidRDefault="00541E32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Default="008A6AF8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1449,60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9" type="#_x0000_t75" style="width:76pt;height:36.2pt" o:ole="" fillcolor="window">
                  <v:imagedata r:id="rId53" o:title=""/>
                </v:shape>
                <o:OLEObject Type="Embed" ProgID="Equation.DSMT4" ShapeID="_x0000_i1049" DrawAspect="Content" ObjectID="_1556180030" r:id="rId54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541E32" w:rsidRPr="005F40D2" w:rsidRDefault="00541E32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Pr="005F40D2" w:rsidRDefault="008A6AF8" w:rsidP="004535CE">
            <w:pPr>
              <w:ind w:firstLine="0"/>
              <w:jc w:val="center"/>
            </w:pPr>
            <w:r>
              <w:rPr>
                <w:lang w:val="ru-RU"/>
              </w:rPr>
              <w:t>7017,23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50" type="#_x0000_t75" style="width:132.05pt;height:20.3pt" o:ole="" fillcolor="window">
                  <v:imagedata r:id="rId55" o:title=""/>
                </v:shape>
                <o:OLEObject Type="Embed" ProgID="Equation.DSMT4" ShapeID="_x0000_i1050" DrawAspect="Content" ObjectID="_1556180031" r:id="rId56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541E32" w:rsidRPr="005F40D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541E32" w:rsidRPr="005F40D2" w:rsidRDefault="008A6AF8" w:rsidP="004535CE">
            <w:pPr>
              <w:ind w:firstLine="0"/>
              <w:jc w:val="center"/>
            </w:pPr>
            <w:r>
              <w:rPr>
                <w:lang w:val="ru-RU"/>
              </w:rPr>
              <w:t>3508,62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51" type="#_x0000_t75" style="width:75.1pt;height:38.45pt" o:ole="" fillcolor="window">
                  <v:imagedata r:id="rId57" o:title=""/>
                </v:shape>
                <o:OLEObject Type="Embed" ProgID="Equation.DSMT4" ShapeID="_x0000_i1051" DrawAspect="Content" ObjectID="_1556180032" r:id="rId58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541E32" w:rsidRPr="005F40D2" w:rsidRDefault="00541E32" w:rsidP="004535C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Pr="005F40D2" w:rsidRDefault="008A6AF8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10525,85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52" type="#_x0000_t75" style="width:76.4pt;height:18.55pt" o:ole="" fillcolor="window">
                  <v:imagedata r:id="rId59" o:title=""/>
                </v:shape>
                <o:OLEObject Type="Embed" ProgID="Equation.DSMT4" ShapeID="_x0000_i1052" DrawAspect="Content" ObjectID="_1556180033" r:id="rId60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541E32" w:rsidRPr="005F40D2" w:rsidRDefault="008A6AF8" w:rsidP="004535CE">
            <w:pPr>
              <w:ind w:firstLine="0"/>
              <w:jc w:val="center"/>
            </w:pPr>
            <w:r>
              <w:rPr>
                <w:lang w:val="ru-RU"/>
              </w:rPr>
              <w:t>2105,17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53" type="#_x0000_t75" style="width:91.45pt;height:37.55pt" o:ole="" fillcolor="window">
                  <v:imagedata r:id="rId61" o:title=""/>
                </v:shape>
                <o:OLEObject Type="Embed" ProgID="Equation.DSMT4" ShapeID="_x0000_i1053" DrawAspect="Content" ObjectID="_1556180034" r:id="rId62"/>
              </w:object>
            </w:r>
          </w:p>
        </w:tc>
      </w:tr>
      <w:tr w:rsidR="00541E32" w:rsidTr="004535CE">
        <w:tc>
          <w:tcPr>
            <w:tcW w:w="2830" w:type="dxa"/>
          </w:tcPr>
          <w:p w:rsidR="00541E32" w:rsidRDefault="00541E32" w:rsidP="004535C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541E32" w:rsidRPr="005F40D2" w:rsidRDefault="00541E32" w:rsidP="004535C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541E32" w:rsidRPr="005F40D2" w:rsidRDefault="008A6AF8" w:rsidP="004535CE">
            <w:pPr>
              <w:ind w:firstLine="0"/>
              <w:jc w:val="center"/>
            </w:pPr>
            <w:r>
              <w:rPr>
                <w:lang w:val="ru-RU"/>
              </w:rPr>
              <w:t>12631,02</w:t>
            </w:r>
          </w:p>
        </w:tc>
        <w:tc>
          <w:tcPr>
            <w:tcW w:w="2337" w:type="dxa"/>
            <w:vAlign w:val="center"/>
          </w:tcPr>
          <w:p w:rsidR="00541E32" w:rsidRDefault="00541E32" w:rsidP="004535CE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54" type="#_x0000_t75" style="width:123.7pt;height:18.55pt" o:ole="" fillcolor="window">
                  <v:imagedata r:id="rId63" o:title=""/>
                </v:shape>
                <o:OLEObject Type="Embed" ProgID="Equation.DSMT4" ShapeID="_x0000_i1054" DrawAspect="Content" ObjectID="_1556180035" r:id="rId64"/>
              </w:object>
            </w:r>
          </w:p>
        </w:tc>
      </w:tr>
    </w:tbl>
    <w:p w:rsidR="00541E32" w:rsidRDefault="00541E32" w:rsidP="00541E32">
      <w:pPr>
        <w:ind w:firstLine="0"/>
        <w:rPr>
          <w:lang w:val="ru-RU"/>
        </w:rPr>
      </w:pPr>
    </w:p>
    <w:p w:rsidR="00925697" w:rsidRDefault="00925697" w:rsidP="00541E32">
      <w:pPr>
        <w:pStyle w:val="2"/>
        <w:ind w:left="1276" w:hanging="567"/>
        <w:rPr>
          <w:b/>
          <w:lang w:val="ru-RU"/>
        </w:rPr>
      </w:pPr>
    </w:p>
    <w:p w:rsidR="00925697" w:rsidRDefault="00925697" w:rsidP="00925697">
      <w:pPr>
        <w:rPr>
          <w:b/>
          <w:lang w:val="ru-RU"/>
        </w:rPr>
      </w:pPr>
    </w:p>
    <w:p w:rsidR="00925697" w:rsidRDefault="00925697" w:rsidP="00925697">
      <w:pPr>
        <w:ind w:firstLine="0"/>
        <w:rPr>
          <w:b/>
          <w:lang w:val="ru-RU"/>
        </w:rPr>
      </w:pPr>
    </w:p>
    <w:p w:rsidR="00541E32" w:rsidRDefault="008A6AF8" w:rsidP="00925697">
      <w:pPr>
        <w:ind w:left="74" w:firstLine="708"/>
        <w:rPr>
          <w:lang w:val="ru-RU"/>
        </w:rPr>
      </w:pPr>
      <w:r>
        <w:rPr>
          <w:b/>
          <w:lang w:val="ru-RU"/>
        </w:rPr>
        <w:lastRenderedPageBreak/>
        <w:t>7</w:t>
      </w:r>
      <w:r w:rsidR="00541E32" w:rsidRPr="005F40D2">
        <w:rPr>
          <w:b/>
          <w:lang w:val="ru-RU"/>
        </w:rPr>
        <w:t>.3</w:t>
      </w:r>
      <w:r w:rsidR="00541E32" w:rsidRPr="005F40D2">
        <w:rPr>
          <w:lang w:val="ru-RU"/>
        </w:rPr>
        <w:t xml:space="preserve"> </w:t>
      </w:r>
      <w:r w:rsidR="00541E32">
        <w:rPr>
          <w:lang w:val="ru-RU"/>
        </w:rPr>
        <w:t xml:space="preserve"> Расчёт экономического эффекта ПО от свободной реализации на рынке</w:t>
      </w:r>
    </w:p>
    <w:p w:rsidR="00541E32" w:rsidRPr="003668FA" w:rsidRDefault="00541E32" w:rsidP="00541E32">
      <w:pPr>
        <w:rPr>
          <w:lang w:val="ru-RU"/>
        </w:rPr>
      </w:pPr>
    </w:p>
    <w:p w:rsidR="00541E32" w:rsidRDefault="00541E32" w:rsidP="00541E3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C63331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55" type="#_x0000_t75" style="width:120.6pt;height:38.45pt" o:ole="" fillcolor="window">
            <v:imagedata r:id="rId65" o:title=""/>
          </v:shape>
          <o:OLEObject Type="Embed" ProgID="Equation.DSMT4" ShapeID="_x0000_i1055" DrawAspect="Content" ObjectID="_1556180036" r:id="rId66"/>
        </w:object>
      </w:r>
      <w:r>
        <w:rPr>
          <w:lang w:val="ru-RU"/>
        </w:rPr>
        <w:t xml:space="preserve">                                         (7.12)</w:t>
      </w:r>
    </w:p>
    <w:p w:rsidR="00541E32" w:rsidRPr="003668FA" w:rsidRDefault="00541E32" w:rsidP="00541E32">
      <w:pPr>
        <w:ind w:firstLine="0"/>
        <w:jc w:val="center"/>
        <w:rPr>
          <w:lang w:val="ru-RU"/>
        </w:rPr>
      </w:pP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3668FA">
        <w:rPr>
          <w:lang w:val="ru-RU"/>
        </w:rPr>
        <w:t>Ц – цена реализации одной копии (лицензии) ПО, руб.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З</w:t>
      </w:r>
      <w:r w:rsidRPr="003668FA">
        <w:rPr>
          <w:vertAlign w:val="subscript"/>
          <w:lang w:val="ru-RU"/>
        </w:rPr>
        <w:t>р</w:t>
      </w:r>
      <w:proofErr w:type="spellEnd"/>
      <w:r w:rsidRPr="003668FA">
        <w:rPr>
          <w:lang w:val="ru-RU"/>
        </w:rPr>
        <w:t xml:space="preserve"> – сумма расходов на разработку и реализацию, руб.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r>
        <w:t>N</w:t>
      </w:r>
      <w:r w:rsidRPr="003668FA">
        <w:rPr>
          <w:lang w:val="ru-RU"/>
        </w:rPr>
        <w:t xml:space="preserve"> – количество копий (лицензий) ПО, которое будет куплено клиентами за год;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П</w:t>
      </w:r>
      <w:r w:rsidRPr="003668FA">
        <w:rPr>
          <w:vertAlign w:val="subscript"/>
          <w:lang w:val="ru-RU"/>
        </w:rPr>
        <w:t>ед</w:t>
      </w:r>
      <w:proofErr w:type="spellEnd"/>
      <w:r w:rsidRPr="003668FA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НДС – сумма налога</w:t>
      </w:r>
      <w:r>
        <w:rPr>
          <w:lang w:val="ru-RU"/>
        </w:rPr>
        <w:t xml:space="preserve"> на добавленную стоимость, руб.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>
        <w:rPr>
          <w:position w:val="-28"/>
        </w:rPr>
        <w:object w:dxaOrig="1640" w:dyaOrig="760">
          <v:shape id="_x0000_i1056" type="#_x0000_t75" style="width:81.7pt;height:38.45pt" o:ole="" fillcolor="window">
            <v:imagedata r:id="rId67" o:title=""/>
          </v:shape>
          <o:OLEObject Type="Embed" ProgID="Equation.DSMT4" ShapeID="_x0000_i1056" DrawAspect="Content" ObjectID="_1556180037" r:id="rId68"/>
        </w:object>
      </w:r>
      <w:r>
        <w:rPr>
          <w:lang w:val="ru-RU"/>
        </w:rPr>
        <w:t xml:space="preserve">                                              </w:t>
      </w:r>
      <w:r w:rsidRPr="00460167">
        <w:rPr>
          <w:lang w:val="ru-RU"/>
        </w:rPr>
        <w:t>(7.13</w:t>
      </w:r>
      <w:r>
        <w:rPr>
          <w:lang w:val="ru-RU"/>
        </w:rPr>
        <w:t>)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0F6D85" w:rsidRDefault="00541E32" w:rsidP="00541E32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A63E06" w:rsidP="00541E32">
      <w:pPr>
        <w:ind w:firstLine="0"/>
        <w:jc w:val="center"/>
        <w:rPr>
          <w:lang w:val="ru-RU"/>
        </w:rPr>
      </w:pPr>
      <w:r>
        <w:rPr>
          <w:position w:val="-28"/>
        </w:rPr>
        <w:object w:dxaOrig="3600" w:dyaOrig="720">
          <v:shape id="_x0000_i1057" type="#_x0000_t75" style="width:180.2pt;height:36.2pt" o:ole="" fillcolor="window">
            <v:imagedata r:id="rId69" o:title=""/>
          </v:shape>
          <o:OLEObject Type="Embed" ProgID="Equation.DSMT4" ShapeID="_x0000_i1057" DrawAspect="Content" ObjectID="_1556180038" r:id="rId70"/>
        </w:object>
      </w:r>
      <w:r w:rsidR="00541E32">
        <w:rPr>
          <w:lang w:val="ru-RU"/>
        </w:rPr>
        <w:t xml:space="preserve"> 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8" type="#_x0000_t75" style="width:122.8pt;height:36.2pt" o:ole="" fillcolor="window">
            <v:imagedata r:id="rId71" o:title=""/>
          </v:shape>
          <o:OLEObject Type="Embed" ProgID="Equation.DSMT4" ShapeID="_x0000_i1058" DrawAspect="Content" ObjectID="_1556180039" r:id="rId72"/>
        </w:object>
      </w:r>
      <w:r>
        <w:t xml:space="preserve">                                         (7.14)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A63E06" w:rsidP="00541E32">
      <w:pPr>
        <w:ind w:firstLine="0"/>
        <w:jc w:val="center"/>
        <w:rPr>
          <w:lang w:val="ru-RU"/>
        </w:rPr>
      </w:pPr>
      <w:r>
        <w:rPr>
          <w:position w:val="-28"/>
        </w:rPr>
        <w:object w:dxaOrig="5140" w:dyaOrig="720">
          <v:shape id="_x0000_i1059" type="#_x0000_t75" style="width:256.65pt;height:36.2pt" o:ole="" fillcolor="window">
            <v:imagedata r:id="rId73" o:title=""/>
          </v:shape>
          <o:OLEObject Type="Embed" ProgID="Equation.DSMT4" ShapeID="_x0000_i1059" DrawAspect="Content" ObjectID="_1556180040" r:id="rId74"/>
        </w:objec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8F1DCA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</w:t>
      </w:r>
      <w:r w:rsidR="00290CA3">
        <w:rPr>
          <w:lang w:val="ru-RU"/>
        </w:rPr>
        <w:t xml:space="preserve">                       </w:t>
      </w:r>
      <w:r w:rsidR="008A6AF8">
        <w:rPr>
          <w:lang w:val="ru-RU"/>
        </w:rPr>
        <w:t xml:space="preserve"> </w:t>
      </w:r>
      <w:r w:rsidR="00290CA3" w:rsidRPr="00290CA3">
        <w:rPr>
          <w:position w:val="-18"/>
        </w:rPr>
        <w:object w:dxaOrig="3500" w:dyaOrig="499">
          <v:shape id="_x0000_i1060" type="#_x0000_t75" style="width:175.35pt;height:25.2pt" o:ole="" fillcolor="window">
            <v:imagedata r:id="rId75" o:title=""/>
          </v:shape>
          <o:OLEObject Type="Embed" ProgID="Equation.DSMT4" ShapeID="_x0000_i1060" DrawAspect="Content" ObjectID="_1556180041" r:id="rId76"/>
        </w:object>
      </w:r>
      <w:r>
        <w:rPr>
          <w:lang w:val="ru-RU"/>
        </w:rPr>
        <w:t xml:space="preserve">                             </w:t>
      </w:r>
      <w:r w:rsidR="00290CA3">
        <w:rPr>
          <w:lang w:val="ru-RU"/>
        </w:rPr>
        <w:t xml:space="preserve">      </w:t>
      </w:r>
      <w:r>
        <w:rPr>
          <w:lang w:val="ru-RU"/>
        </w:rPr>
        <w:t>(7.15)</w:t>
      </w: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541E32" w:rsidRPr="003668FA" w:rsidRDefault="00541E32" w:rsidP="00541E32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>
        <w:rPr>
          <w:lang w:val="ru-RU"/>
        </w:rPr>
        <w:t xml:space="preserve">        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ос</w:t>
      </w:r>
      <w:r w:rsidRPr="003668FA">
        <w:rPr>
          <w:lang w:val="ru-RU"/>
        </w:rPr>
        <w:t xml:space="preserve"> – затраты пользователя на освоение ПО (10% от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об</w:t>
      </w:r>
      <w:proofErr w:type="spellEnd"/>
      <w:r w:rsidRPr="003668FA">
        <w:rPr>
          <w:lang w:val="ru-RU"/>
        </w:rPr>
        <w:t xml:space="preserve"> – затраты на пополнение оборотных средств (15% от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</w: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290CA3" w:rsidP="00541E32">
      <w:pPr>
        <w:jc w:val="center"/>
        <w:rPr>
          <w:lang w:val="ru-RU"/>
        </w:rPr>
      </w:pPr>
      <w:r w:rsidRPr="00F8495B">
        <w:rPr>
          <w:position w:val="-12"/>
        </w:rPr>
        <w:object w:dxaOrig="6039" w:dyaOrig="380">
          <v:shape id="_x0000_i1061" type="#_x0000_t75" style="width:301.25pt;height:18.55pt" o:ole="" fillcolor="window">
            <v:imagedata r:id="rId77" o:title=""/>
          </v:shape>
          <o:OLEObject Type="Embed" ProgID="Equation.DSMT4" ShapeID="_x0000_i1061" DrawAspect="Content" ObjectID="_1556180042" r:id="rId78"/>
        </w:objec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541E32" w:rsidP="00541E32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541E32" w:rsidRDefault="00541E32" w:rsidP="00541E32">
      <w:pPr>
        <w:jc w:val="center"/>
        <w:rPr>
          <w:lang w:val="ru-RU"/>
        </w:rPr>
      </w:pPr>
    </w:p>
    <w:p w:rsidR="00541E32" w:rsidRPr="00F8495B" w:rsidRDefault="00541E32" w:rsidP="00541E32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</w:t>
      </w:r>
      <w:r w:rsidRPr="004914D6">
        <w:rPr>
          <w:position w:val="-14"/>
        </w:rPr>
        <w:object w:dxaOrig="1359" w:dyaOrig="400">
          <v:shape id="_x0000_i1062" type="#_x0000_t75" style="width:67.6pt;height:20.3pt" o:ole="" fillcolor="window">
            <v:imagedata r:id="rId79" o:title=""/>
          </v:shape>
          <o:OLEObject Type="Embed" ProgID="Equation.DSMT4" ShapeID="_x0000_i1062" DrawAspect="Content" ObjectID="_1556180043" r:id="rId80"/>
        </w:object>
      </w:r>
      <w:r>
        <w:rPr>
          <w:lang w:val="ru-RU"/>
        </w:rPr>
        <w:t xml:space="preserve">                                              (7.16)</w: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290CA3" w:rsidP="00541E32">
      <w:pPr>
        <w:jc w:val="center"/>
      </w:pPr>
      <w:r w:rsidRPr="0058679D">
        <w:rPr>
          <w:position w:val="-12"/>
        </w:rPr>
        <w:object w:dxaOrig="3620" w:dyaOrig="380">
          <v:shape id="_x0000_i1063" type="#_x0000_t75" style="width:180.2pt;height:18.55pt" o:ole="" fillcolor="window">
            <v:imagedata r:id="rId81" o:title=""/>
          </v:shape>
          <o:OLEObject Type="Embed" ProgID="Equation.DSMT4" ShapeID="_x0000_i1063" DrawAspect="Content" ObjectID="_1556180044" r:id="rId82"/>
        </w:objec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541E32" w:rsidP="00541E32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541E32" w:rsidRDefault="00541E32" w:rsidP="00541E32">
      <w:pPr>
        <w:rPr>
          <w:lang w:val="ru-RU"/>
        </w:rPr>
      </w:pPr>
    </w:p>
    <w:p w:rsidR="00541E32" w:rsidRPr="004F455C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64" type="#_x0000_t75" style="width:117.05pt;height:38.85pt" o:ole="" fillcolor="window">
            <v:imagedata r:id="rId83" o:title=""/>
          </v:shape>
          <o:OLEObject Type="Embed" ProgID="Equation.DSMT4" ShapeID="_x0000_i1064" DrawAspect="Content" ObjectID="_1556180045" r:id="rId84"/>
        </w:object>
      </w:r>
      <w:r>
        <w:rPr>
          <w:lang w:val="ru-RU"/>
        </w:rPr>
        <w:t xml:space="preserve">                                          (7.17)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290CA3" w:rsidP="00541E32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20" w:dyaOrig="780">
          <v:shape id="_x0000_i1065" type="#_x0000_t75" style="width:235.45pt;height:38.85pt" o:ole="" fillcolor="window">
            <v:imagedata r:id="rId85" o:title=""/>
          </v:shape>
          <o:OLEObject Type="Embed" ProgID="Equation.DSMT4" ShapeID="_x0000_i1065" DrawAspect="Content" ObjectID="_1556180046" r:id="rId86"/>
        </w:objec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290CA3" w:rsidRDefault="00290CA3" w:rsidP="00541E32">
      <w:pPr>
        <w:ind w:firstLine="720"/>
        <w:rPr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jc w:val="center"/>
        <w:rPr>
          <w:lang w:val="ru-RU"/>
        </w:rPr>
      </w:pPr>
      <w:r w:rsidRPr="00460167">
        <w:rPr>
          <w:lang w:val="ru-RU"/>
        </w:rPr>
        <w:t xml:space="preserve">                                                  </w:t>
      </w:r>
      <w:r w:rsidRPr="00907A94">
        <w:rPr>
          <w:position w:val="-40"/>
        </w:rPr>
        <w:object w:dxaOrig="1960" w:dyaOrig="840">
          <v:shape id="_x0000_i1066" type="#_x0000_t75" style="width:97.6pt;height:41.95pt" o:ole="" fillcolor="window">
            <v:imagedata r:id="rId87" o:title=""/>
          </v:shape>
          <o:OLEObject Type="Embed" ProgID="Equation.DSMT4" ShapeID="_x0000_i1066" DrawAspect="Content" ObjectID="_1556180047" r:id="rId88"/>
        </w:object>
      </w:r>
      <w:r w:rsidRPr="00460167">
        <w:rPr>
          <w:lang w:val="ru-RU"/>
        </w:rPr>
        <w:t xml:space="preserve">                                              (7.18)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Pr="003668FA" w:rsidRDefault="00541E32" w:rsidP="00541E32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где </w:t>
      </w:r>
      <w:proofErr w:type="spellStart"/>
      <w:r w:rsidRPr="003668FA">
        <w:rPr>
          <w:lang w:val="ru-RU"/>
        </w:rPr>
        <w:t>Е</w:t>
      </w:r>
      <w:r w:rsidRPr="003668FA">
        <w:rPr>
          <w:vertAlign w:val="subscript"/>
          <w:lang w:val="ru-RU"/>
        </w:rPr>
        <w:t>н</w:t>
      </w:r>
      <w:proofErr w:type="spellEnd"/>
      <w:r w:rsidRPr="003668FA">
        <w:rPr>
          <w:lang w:val="ru-RU"/>
        </w:rPr>
        <w:t xml:space="preserve"> – норма дисконтирования в долях единицы (0,14)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515A9D">
        <w:rPr>
          <w:i/>
        </w:rPr>
        <w:t>t</w:t>
      </w:r>
      <w:r w:rsidRPr="00515A9D">
        <w:rPr>
          <w:i/>
          <w:vertAlign w:val="subscript"/>
        </w:rPr>
        <w:t>i</w:t>
      </w:r>
      <w:proofErr w:type="spellEnd"/>
      <w:r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541E32" w:rsidRPr="003668FA" w:rsidRDefault="00541E32" w:rsidP="00541E32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515A9D">
        <w:rPr>
          <w:i/>
        </w:rPr>
        <w:t>t</w:t>
      </w:r>
      <w:r w:rsidRPr="00515A9D">
        <w:rPr>
          <w:i/>
          <w:vertAlign w:val="subscript"/>
        </w:rPr>
        <w:t>p</w:t>
      </w:r>
      <w:proofErr w:type="spellEnd"/>
      <w:r w:rsidRPr="002C6FD5">
        <w:rPr>
          <w:lang w:val="ru-RU"/>
        </w:rPr>
        <w:t xml:space="preserve"> – </w:t>
      </w:r>
      <w:r w:rsidRPr="003668FA">
        <w:rPr>
          <w:lang w:val="ru-RU"/>
        </w:rPr>
        <w:t>расчётный год (</w:t>
      </w:r>
      <w:proofErr w:type="spellStart"/>
      <w:r>
        <w:t>t</w:t>
      </w:r>
      <w:r w:rsidRPr="003668FA">
        <w:rPr>
          <w:vertAlign w:val="subscript"/>
        </w:rPr>
        <w:t>p</w:t>
      </w:r>
      <w:proofErr w:type="spellEnd"/>
      <w:r w:rsidRPr="002C6FD5">
        <w:rPr>
          <w:lang w:val="ru-RU"/>
        </w:rPr>
        <w:t xml:space="preserve"> = 1</w:t>
      </w:r>
      <w:r>
        <w:rPr>
          <w:lang w:val="ru-RU"/>
        </w:rPr>
        <w:t>).</w: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541E32" w:rsidP="00541E32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67" type="#_x0000_t75" style="width:120.6pt;height:41.95pt" o:ole="" fillcolor="window">
            <v:imagedata r:id="rId89" o:title=""/>
          </v:shape>
          <o:OLEObject Type="Embed" ProgID="Equation.DSMT4" ShapeID="_x0000_i1067" DrawAspect="Content" ObjectID="_1556180048" r:id="rId90"/>
        </w:object>
      </w:r>
    </w:p>
    <w:p w:rsidR="00541E32" w:rsidRDefault="00541E32" w:rsidP="00541E32">
      <w:pPr>
        <w:jc w:val="center"/>
        <w:rPr>
          <w:lang w:val="ru-RU"/>
        </w:rPr>
      </w:pPr>
    </w:p>
    <w:p w:rsidR="00541E32" w:rsidRDefault="00541E32" w:rsidP="004F3C7D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68" type="#_x0000_t75" style="width:142.65pt;height:41.95pt" o:ole="" fillcolor="window">
            <v:imagedata r:id="rId91" o:title=""/>
          </v:shape>
          <o:OLEObject Type="Embed" ProgID="Equation.DSMT4" ShapeID="_x0000_i1068" DrawAspect="Content" ObjectID="_1556180049" r:id="rId92"/>
        </w:object>
      </w:r>
    </w:p>
    <w:p w:rsidR="00541E32" w:rsidRDefault="00541E32" w:rsidP="00541E32">
      <w:pPr>
        <w:ind w:firstLine="0"/>
        <w:jc w:val="center"/>
      </w:pPr>
    </w:p>
    <w:p w:rsidR="00541E32" w:rsidRDefault="00290CA3" w:rsidP="00541E32">
      <w:pPr>
        <w:ind w:firstLine="0"/>
        <w:jc w:val="center"/>
      </w:pPr>
      <w:r w:rsidRPr="00907A94">
        <w:rPr>
          <w:position w:val="-40"/>
        </w:rPr>
        <w:object w:dxaOrig="2840" w:dyaOrig="840">
          <v:shape id="_x0000_i1069" type="#_x0000_t75" style="width:141.35pt;height:41.95pt" o:ole="" fillcolor="window">
            <v:imagedata r:id="rId93" o:title=""/>
          </v:shape>
          <o:OLEObject Type="Embed" ProgID="Equation.DSMT4" ShapeID="_x0000_i1069" DrawAspect="Content" ObjectID="_1556180050" r:id="rId94"/>
        </w:object>
      </w:r>
    </w:p>
    <w:p w:rsidR="00541E32" w:rsidRDefault="00541E32" w:rsidP="00541E32">
      <w:pPr>
        <w:ind w:firstLine="0"/>
        <w:jc w:val="center"/>
      </w:pPr>
    </w:p>
    <w:p w:rsidR="00541E32" w:rsidRDefault="00290CA3" w:rsidP="00541E32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2860" w:dyaOrig="840">
          <v:shape id="_x0000_i1070" type="#_x0000_t75" style="width:143.1pt;height:41.95pt" o:ole="" fillcolor="window">
            <v:imagedata r:id="rId95" o:title=""/>
          </v:shape>
          <o:OLEObject Type="Embed" ProgID="Equation.DSMT4" ShapeID="_x0000_i1070" DrawAspect="Content" ObjectID="_1556180051" r:id="rId96"/>
        </w:object>
      </w:r>
    </w:p>
    <w:p w:rsidR="00541E32" w:rsidRDefault="00541E32" w:rsidP="00541E32">
      <w:pPr>
        <w:ind w:firstLine="0"/>
        <w:rPr>
          <w:lang w:val="ru-RU"/>
        </w:rPr>
      </w:pPr>
    </w:p>
    <w:p w:rsidR="00541E32" w:rsidRDefault="00541E32" w:rsidP="00541E3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a4"/>
        <w:tblW w:w="7941" w:type="dxa"/>
        <w:tblInd w:w="-5" w:type="dxa"/>
        <w:tblLook w:val="04A0" w:firstRow="1" w:lastRow="0" w:firstColumn="1" w:lastColumn="0" w:noHBand="0" w:noVBand="1"/>
      </w:tblPr>
      <w:tblGrid>
        <w:gridCol w:w="2129"/>
        <w:gridCol w:w="724"/>
        <w:gridCol w:w="1343"/>
        <w:gridCol w:w="1272"/>
        <w:gridCol w:w="1272"/>
        <w:gridCol w:w="1201"/>
      </w:tblGrid>
      <w:tr w:rsidR="00161712" w:rsidTr="00161712">
        <w:tc>
          <w:tcPr>
            <w:tcW w:w="2129" w:type="dxa"/>
            <w:vMerge w:val="restart"/>
            <w:vAlign w:val="center"/>
          </w:tcPr>
          <w:p w:rsidR="00161712" w:rsidRPr="00BB2A64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724" w:type="dxa"/>
            <w:vMerge w:val="restart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161712" w:rsidTr="00161712">
        <w:tc>
          <w:tcPr>
            <w:tcW w:w="2129" w:type="dxa"/>
            <w:vMerge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161712" w:rsidRDefault="00161712" w:rsidP="004535C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161712" w:rsidTr="00161712">
        <w:tc>
          <w:tcPr>
            <w:tcW w:w="2129" w:type="dxa"/>
          </w:tcPr>
          <w:p w:rsidR="00161712" w:rsidRDefault="00161712" w:rsidP="00161712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724" w:type="dxa"/>
          </w:tcPr>
          <w:p w:rsidR="00161712" w:rsidRDefault="00161712" w:rsidP="009D40E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  <w:tr w:rsidR="00161712" w:rsidTr="00161712">
        <w:tc>
          <w:tcPr>
            <w:tcW w:w="2129" w:type="dxa"/>
          </w:tcPr>
          <w:p w:rsidR="00161712" w:rsidRDefault="00161712" w:rsidP="0016171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724" w:type="dxa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2877,38</w:t>
            </w:r>
          </w:p>
        </w:tc>
        <w:tc>
          <w:tcPr>
            <w:tcW w:w="1272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2877,38</w:t>
            </w:r>
          </w:p>
        </w:tc>
        <w:tc>
          <w:tcPr>
            <w:tcW w:w="1272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2877,38</w:t>
            </w:r>
          </w:p>
        </w:tc>
        <w:tc>
          <w:tcPr>
            <w:tcW w:w="1201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2877,38</w:t>
            </w:r>
          </w:p>
        </w:tc>
      </w:tr>
      <w:tr w:rsidR="00161712" w:rsidTr="00161712">
        <w:tc>
          <w:tcPr>
            <w:tcW w:w="2129" w:type="dxa"/>
          </w:tcPr>
          <w:p w:rsidR="00161712" w:rsidRDefault="00161712" w:rsidP="0016171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724" w:type="dxa"/>
          </w:tcPr>
          <w:p w:rsidR="009D40E4" w:rsidRDefault="009D40E4" w:rsidP="00161712">
            <w:pPr>
              <w:ind w:firstLine="0"/>
              <w:jc w:val="center"/>
              <w:rPr>
                <w:lang w:val="ru-RU"/>
              </w:rPr>
            </w:pPr>
          </w:p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2877,38</w:t>
            </w:r>
          </w:p>
        </w:tc>
        <w:tc>
          <w:tcPr>
            <w:tcW w:w="1272" w:type="dxa"/>
            <w:vAlign w:val="center"/>
          </w:tcPr>
          <w:p w:rsidR="00161712" w:rsidRPr="007D0C18" w:rsidRDefault="006D7139" w:rsidP="00161712">
            <w:pPr>
              <w:ind w:firstLine="0"/>
              <w:jc w:val="center"/>
            </w:pPr>
            <w:r>
              <w:rPr>
                <w:lang w:val="ru-RU"/>
              </w:rPr>
              <w:t>2532,09</w:t>
            </w:r>
          </w:p>
        </w:tc>
        <w:tc>
          <w:tcPr>
            <w:tcW w:w="1272" w:type="dxa"/>
            <w:vAlign w:val="center"/>
          </w:tcPr>
          <w:p w:rsidR="00161712" w:rsidRPr="003E5EFF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2215,58</w:t>
            </w:r>
          </w:p>
        </w:tc>
        <w:tc>
          <w:tcPr>
            <w:tcW w:w="1201" w:type="dxa"/>
            <w:vAlign w:val="center"/>
          </w:tcPr>
          <w:p w:rsidR="00161712" w:rsidRPr="003E5EFF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1956,62</w:t>
            </w:r>
          </w:p>
        </w:tc>
      </w:tr>
      <w:tr w:rsidR="00161712" w:rsidTr="00161712">
        <w:tc>
          <w:tcPr>
            <w:tcW w:w="2129" w:type="dxa"/>
          </w:tcPr>
          <w:p w:rsidR="00161712" w:rsidRDefault="00161712" w:rsidP="00161712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724" w:type="dxa"/>
          </w:tcPr>
          <w:p w:rsidR="00161712" w:rsidRDefault="00161712" w:rsidP="009D40E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7017,23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61712" w:rsidTr="00161712">
        <w:tc>
          <w:tcPr>
            <w:tcW w:w="2129" w:type="dxa"/>
          </w:tcPr>
          <w:p w:rsidR="00161712" w:rsidRDefault="00161712" w:rsidP="00161712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724" w:type="dxa"/>
          </w:tcPr>
          <w:p w:rsidR="00161712" w:rsidRDefault="00161712" w:rsidP="00161712">
            <w:pPr>
              <w:ind w:firstLine="0"/>
              <w:rPr>
                <w:lang w:val="ru-RU"/>
              </w:rPr>
            </w:pPr>
          </w:p>
          <w:p w:rsidR="00161712" w:rsidRDefault="00161712" w:rsidP="0016171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161712" w:rsidRDefault="006D7139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7017,23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161712" w:rsidRDefault="00161712" w:rsidP="0016171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25697" w:rsidTr="00E91106">
        <w:tc>
          <w:tcPr>
            <w:tcW w:w="2129" w:type="dxa"/>
          </w:tcPr>
          <w:p w:rsidR="00925697" w:rsidRDefault="00925697" w:rsidP="00E9110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724" w:type="dxa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</w:p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-4139,85</w:t>
            </w:r>
          </w:p>
        </w:tc>
        <w:tc>
          <w:tcPr>
            <w:tcW w:w="1272" w:type="dxa"/>
            <w:vAlign w:val="center"/>
          </w:tcPr>
          <w:p w:rsidR="00925697" w:rsidRDefault="002401D3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-1262,47</w:t>
            </w:r>
          </w:p>
        </w:tc>
        <w:tc>
          <w:tcPr>
            <w:tcW w:w="1272" w:type="dxa"/>
            <w:vAlign w:val="center"/>
          </w:tcPr>
          <w:p w:rsidR="00925697" w:rsidRDefault="002401D3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1614,91</w:t>
            </w:r>
          </w:p>
        </w:tc>
        <w:tc>
          <w:tcPr>
            <w:tcW w:w="1201" w:type="dxa"/>
            <w:vAlign w:val="center"/>
          </w:tcPr>
          <w:p w:rsidR="00925697" w:rsidRDefault="002401D3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4492,29</w:t>
            </w:r>
          </w:p>
        </w:tc>
      </w:tr>
    </w:tbl>
    <w:p w:rsidR="004F3C7D" w:rsidRDefault="004F3C7D" w:rsidP="006D7139">
      <w:pPr>
        <w:ind w:firstLine="0"/>
        <w:rPr>
          <w:i/>
          <w:lang w:val="ru-RU"/>
        </w:rPr>
      </w:pPr>
    </w:p>
    <w:p w:rsidR="004F3C7D" w:rsidRDefault="004F3C7D" w:rsidP="006D7139">
      <w:pPr>
        <w:ind w:firstLine="0"/>
        <w:rPr>
          <w:i/>
          <w:lang w:val="ru-RU"/>
        </w:rPr>
      </w:pPr>
    </w:p>
    <w:p w:rsidR="00925697" w:rsidRDefault="00925697" w:rsidP="006D7139">
      <w:pPr>
        <w:ind w:firstLine="0"/>
        <w:rPr>
          <w:i/>
          <w:lang w:val="ru-RU"/>
        </w:rPr>
      </w:pPr>
      <w:r>
        <w:rPr>
          <w:i/>
          <w:lang w:val="ru-RU"/>
        </w:rPr>
        <w:lastRenderedPageBreak/>
        <w:t>Продолжение таблицы 7.3</w:t>
      </w:r>
    </w:p>
    <w:tbl>
      <w:tblPr>
        <w:tblStyle w:val="a4"/>
        <w:tblW w:w="7941" w:type="dxa"/>
        <w:tblInd w:w="-5" w:type="dxa"/>
        <w:tblLook w:val="04A0" w:firstRow="1" w:lastRow="0" w:firstColumn="1" w:lastColumn="0" w:noHBand="0" w:noVBand="1"/>
      </w:tblPr>
      <w:tblGrid>
        <w:gridCol w:w="2129"/>
        <w:gridCol w:w="724"/>
        <w:gridCol w:w="1343"/>
        <w:gridCol w:w="1272"/>
        <w:gridCol w:w="1272"/>
        <w:gridCol w:w="1201"/>
      </w:tblGrid>
      <w:tr w:rsidR="00925697" w:rsidTr="00E91106">
        <w:tc>
          <w:tcPr>
            <w:tcW w:w="2129" w:type="dxa"/>
          </w:tcPr>
          <w:p w:rsidR="00925697" w:rsidRDefault="00925697" w:rsidP="00E9110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724" w:type="dxa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</w:p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-4139,85</w:t>
            </w:r>
          </w:p>
        </w:tc>
        <w:tc>
          <w:tcPr>
            <w:tcW w:w="1272" w:type="dxa"/>
            <w:vAlign w:val="center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-1607,76</w:t>
            </w:r>
          </w:p>
        </w:tc>
        <w:tc>
          <w:tcPr>
            <w:tcW w:w="1272" w:type="dxa"/>
            <w:vAlign w:val="center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607,82</w:t>
            </w:r>
          </w:p>
        </w:tc>
        <w:tc>
          <w:tcPr>
            <w:tcW w:w="1201" w:type="dxa"/>
            <w:vAlign w:val="center"/>
          </w:tcPr>
          <w:p w:rsidR="00925697" w:rsidRDefault="00925697" w:rsidP="00E9110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2264,44</w:t>
            </w:r>
          </w:p>
        </w:tc>
      </w:tr>
    </w:tbl>
    <w:p w:rsidR="00925697" w:rsidRPr="009D40E4" w:rsidRDefault="00925697" w:rsidP="006D7139">
      <w:pPr>
        <w:ind w:firstLine="0"/>
        <w:rPr>
          <w:i/>
          <w:lang w:val="ru-RU"/>
        </w:rPr>
      </w:pPr>
    </w:p>
    <w:p w:rsidR="00541E32" w:rsidRDefault="00541E32" w:rsidP="00541E32">
      <w:pPr>
        <w:ind w:firstLine="720"/>
        <w:rPr>
          <w:lang w:val="ru-RU"/>
        </w:rPr>
      </w:pPr>
      <w:r>
        <w:rPr>
          <w:lang w:val="ru-RU"/>
        </w:rPr>
        <w:t>Так как чистый дисконтированный доход больше нуля, то проект эффективен, то есть инвестиции в разработку данного ПО экономически целесообразны.</w: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)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567713" w:rsidRDefault="00541E32" w:rsidP="00541E3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Pr="00571579">
        <w:rPr>
          <w:position w:val="-38"/>
        </w:rPr>
        <w:object w:dxaOrig="1960" w:dyaOrig="859">
          <v:shape id="_x0000_i1071" type="#_x0000_t75" style="width:97.6pt;height:43.3pt" o:ole="" fillcolor="window">
            <v:imagedata r:id="rId97" o:title=""/>
          </v:shape>
          <o:OLEObject Type="Embed" ProgID="Equation.DSMT4" ShapeID="_x0000_i1071" DrawAspect="Content" ObjectID="_1556180052" r:id="rId98"/>
        </w:object>
      </w:r>
      <w:r>
        <w:rPr>
          <w:lang w:val="ru-RU"/>
        </w:rPr>
        <w:t xml:space="preserve">                                         (7.19)</w:t>
      </w:r>
    </w:p>
    <w:p w:rsidR="00541E32" w:rsidRPr="00460167" w:rsidRDefault="00541E32" w:rsidP="00541E32">
      <w:pPr>
        <w:ind w:firstLine="0"/>
        <w:jc w:val="center"/>
        <w:rPr>
          <w:lang w:val="ru-RU"/>
        </w:rPr>
      </w:pP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541E32" w:rsidRDefault="00541E32" w:rsidP="00541E32">
      <w:pPr>
        <w:ind w:firstLine="0"/>
        <w:rPr>
          <w:lang w:val="ru-RU"/>
        </w:rPr>
      </w:pPr>
    </w:p>
    <w:p w:rsidR="00541E32" w:rsidRPr="00460167" w:rsidRDefault="00541E32" w:rsidP="00541E32">
      <w:pPr>
        <w:ind w:firstLine="0"/>
        <w:jc w:val="center"/>
        <w:rPr>
          <w:lang w:val="ru-RU"/>
        </w:rPr>
      </w:pPr>
      <w:r w:rsidRPr="00460167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72" type="#_x0000_t75" style="width:82.6pt;height:55.65pt" o:ole="" fillcolor="window">
            <v:imagedata r:id="rId99" o:title=""/>
          </v:shape>
          <o:OLEObject Type="Embed" ProgID="Equation.DSMT4" ShapeID="_x0000_i1072" DrawAspect="Content" ObjectID="_1556180053" r:id="rId100"/>
        </w:object>
      </w:r>
      <w:r w:rsidRPr="00460167">
        <w:rPr>
          <w:lang w:val="ru-RU"/>
        </w:rPr>
        <w:t xml:space="preserve">                                             (7.20)</w:t>
      </w:r>
    </w:p>
    <w:p w:rsidR="00541E32" w:rsidRPr="00460167" w:rsidRDefault="00541E32" w:rsidP="00541E32">
      <w:pPr>
        <w:ind w:firstLine="0"/>
        <w:jc w:val="left"/>
        <w:rPr>
          <w:lang w:val="ru-RU"/>
        </w:rPr>
      </w:pPr>
    </w:p>
    <w:p w:rsidR="00541E32" w:rsidRDefault="00541E32" w:rsidP="00541E32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541E32" w:rsidRDefault="00541E32" w:rsidP="00541E32">
      <w:pPr>
        <w:ind w:firstLine="0"/>
        <w:jc w:val="left"/>
        <w:rPr>
          <w:lang w:val="ru-RU"/>
        </w:rPr>
      </w:pPr>
    </w:p>
    <w:p w:rsidR="00541E32" w:rsidRDefault="00161712" w:rsidP="00541E32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60" w:dyaOrig="700">
          <v:shape id="_x0000_i1073" type="#_x0000_t75" style="width:352.5pt;height:35.35pt" o:ole="" fillcolor="window">
            <v:imagedata r:id="rId101" o:title=""/>
          </v:shape>
          <o:OLEObject Type="Embed" ProgID="Equation.DSMT4" ShapeID="_x0000_i1073" DrawAspect="Content" ObjectID="_1556180054" r:id="rId102"/>
        </w:object>
      </w:r>
      <w:r w:rsidR="00541E32">
        <w:rPr>
          <w:lang w:val="ru-RU"/>
        </w:rPr>
        <w:t xml:space="preserve"> </w:t>
      </w:r>
    </w:p>
    <w:p w:rsidR="00541E32" w:rsidRDefault="00541E32" w:rsidP="00541E32">
      <w:pPr>
        <w:ind w:firstLine="0"/>
        <w:jc w:val="center"/>
        <w:rPr>
          <w:lang w:val="ru-RU"/>
        </w:rPr>
      </w:pPr>
    </w:p>
    <w:p w:rsidR="00541E32" w:rsidRDefault="00161712" w:rsidP="00541E32">
      <w:pPr>
        <w:ind w:firstLine="0"/>
        <w:jc w:val="center"/>
        <w:rPr>
          <w:lang w:val="ru-RU"/>
        </w:rPr>
      </w:pPr>
      <w:r w:rsidRPr="007B7C5D">
        <w:rPr>
          <w:position w:val="-30"/>
        </w:rPr>
        <w:object w:dxaOrig="3240" w:dyaOrig="740">
          <v:shape id="_x0000_i1074" type="#_x0000_t75" style="width:161.65pt;height:37.55pt" o:ole="" fillcolor="window">
            <v:imagedata r:id="rId103" o:title=""/>
          </v:shape>
          <o:OLEObject Type="Embed" ProgID="Equation.DSMT4" ShapeID="_x0000_i1074" DrawAspect="Content" ObjectID="_1556180055" r:id="rId104"/>
        </w:object>
      </w:r>
    </w:p>
    <w:p w:rsidR="00541E32" w:rsidRDefault="00541E32" w:rsidP="00541E32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541E32" w:rsidRDefault="00541E32" w:rsidP="00541E3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161712">
        <w:rPr>
          <w:lang w:val="ru-RU"/>
        </w:rPr>
        <w:t>2564,44</w:t>
      </w:r>
      <w:r w:rsidR="006D7139">
        <w:rPr>
          <w:lang w:val="ru-RU"/>
        </w:rPr>
        <w:t xml:space="preserve"> </w:t>
      </w:r>
      <w:r>
        <w:rPr>
          <w:lang w:val="ru-RU"/>
        </w:rPr>
        <w:t>руб.;</w:t>
      </w:r>
    </w:p>
    <w:p w:rsidR="00541E32" w:rsidRDefault="00541E32" w:rsidP="00541E3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затраты на разработку программного продукта окупятся на </w:t>
      </w:r>
      <w:r w:rsidR="006D7139">
        <w:rPr>
          <w:lang w:val="ru-RU"/>
        </w:rPr>
        <w:t>третий</w:t>
      </w:r>
      <w:r>
        <w:rPr>
          <w:lang w:val="ru-RU"/>
        </w:rPr>
        <w:t xml:space="preserve"> год его использования;</w:t>
      </w:r>
    </w:p>
    <w:p w:rsidR="00541E32" w:rsidRDefault="00541E32" w:rsidP="00541E3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рентабельность инвестиций составит 34,</w:t>
      </w:r>
      <w:r w:rsidR="00161712">
        <w:rPr>
          <w:lang w:val="ru-RU"/>
        </w:rPr>
        <w:t>14</w:t>
      </w:r>
      <w:r>
        <w:rPr>
          <w:lang w:val="ru-RU"/>
        </w:rPr>
        <w:t>%;</w:t>
      </w:r>
    </w:p>
    <w:p w:rsidR="001E07E0" w:rsidRPr="00541E32" w:rsidRDefault="00541E32" w:rsidP="00925697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sectPr w:rsidR="001E07E0" w:rsidRPr="00541E32" w:rsidSect="007F3B6E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E"/>
    <w:rsid w:val="0001229E"/>
    <w:rsid w:val="0002089E"/>
    <w:rsid w:val="000B76B9"/>
    <w:rsid w:val="00161712"/>
    <w:rsid w:val="001E07E0"/>
    <w:rsid w:val="001E4B70"/>
    <w:rsid w:val="002401D3"/>
    <w:rsid w:val="00290CA3"/>
    <w:rsid w:val="004419F7"/>
    <w:rsid w:val="004535CE"/>
    <w:rsid w:val="004F3C7D"/>
    <w:rsid w:val="00541E32"/>
    <w:rsid w:val="006D7139"/>
    <w:rsid w:val="0076116A"/>
    <w:rsid w:val="007F3B6E"/>
    <w:rsid w:val="00851CA9"/>
    <w:rsid w:val="008A6AF8"/>
    <w:rsid w:val="00925697"/>
    <w:rsid w:val="009C5CB7"/>
    <w:rsid w:val="009D40E4"/>
    <w:rsid w:val="00A63E06"/>
    <w:rsid w:val="00C3285E"/>
    <w:rsid w:val="00E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9458"/>
  <w15:chartTrackingRefBased/>
  <w15:docId w15:val="{63602A30-1746-4DE2-B8FF-D8956140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541E32"/>
    <w:pPr>
      <w:widowControl w:val="0"/>
      <w:spacing w:after="40" w:line="240" w:lineRule="auto"/>
      <w:ind w:firstLine="74"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E3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E32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E32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41E32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541E32"/>
    <w:pPr>
      <w:ind w:left="720"/>
      <w:contextualSpacing/>
    </w:pPr>
  </w:style>
  <w:style w:type="table" w:styleId="a4">
    <w:name w:val="Table Grid"/>
    <w:basedOn w:val="a1"/>
    <w:uiPriority w:val="39"/>
    <w:rsid w:val="00541E32"/>
    <w:pPr>
      <w:spacing w:after="0" w:line="240" w:lineRule="auto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2017-05-09T18:40:00Z</dcterms:created>
  <dcterms:modified xsi:type="dcterms:W3CDTF">2017-05-13T08:26:00Z</dcterms:modified>
</cp:coreProperties>
</file>