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801-034-22-14738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Суховерская Наталья Геннадьевна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Суховерский Артём Георгиевич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801-034-22-14738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1211210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одиннадцать тысяч двести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Н.Г. Суховерская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А.Г. Суховерский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