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2131"/>
        <w:gridCol w:w="748"/>
        <w:gridCol w:w="979"/>
        <w:gridCol w:w="431"/>
        <w:gridCol w:w="2448"/>
        <w:gridCol w:w="1061"/>
        <w:gridCol w:w="2880"/>
        <w:gridCol w:w="974"/>
        <w:gridCol w:w="2715"/>
        <w:gridCol w:w="164"/>
        <w:gridCol w:w="915"/>
        <w:gridCol w:w="1079"/>
        <w:gridCol w:w="1800"/>
        <w:gridCol w:w="1080"/>
      </w:tblGrid>
      <w:tr>
        <w:trPr>
          <w:trHeight w:val="479" w:hRule="atLeast"/>
        </w:trPr>
        <w:tc>
          <w:tcPr>
            <w:tcW w:w="74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160"/>
            </w:tblGrid>
            <w:tr>
              <w:trPr>
                <w:trHeight w:val="401" w:hRule="atLeast"/>
              </w:trPr>
              <w:tc>
                <w:tcPr>
                  <w:tcW w:w="201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Always On Availability Group Latency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9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9" w:hRule="atLeast"/>
        </w:trPr>
        <w:tc>
          <w:tcPr>
            <w:tcW w:w="74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160"/>
            </w:tblGrid>
            <w:tr>
              <w:trPr>
                <w:trHeight w:val="401" w:hRule="atLeast"/>
              </w:trPr>
              <w:tc>
                <w:tcPr>
                  <w:tcW w:w="201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Data Collection Time</w:t>
                  </w: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      </w:t>
                  </w: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Local Time:</w:t>
                  </w: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11/9/2017 6:39:10 PM</w:t>
                  </w: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       </w:t>
                  </w: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UTC Time:</w:t>
                  </w: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11/9/2017 6:39:10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9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080"/>
            </w:tblGrid>
            <w:tr>
              <w:trPr>
                <w:trHeight w:val="401" w:hRule="atLeast"/>
              </w:trPr>
              <w:tc>
                <w:tcPr>
                  <w:tcW w:w="100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Always On Replica Roles (at data collection time)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59"/>
              <w:gridCol w:w="3359"/>
              <w:gridCol w:w="3359"/>
            </w:tblGrid>
            <w:tr>
              <w:trPr>
                <w:trHeight w:val="426" w:hRule="atLeast"/>
              </w:trPr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4"/>
                    </w:rPr>
                    <w:t xml:space="preserve">Availability Group Name</w:t>
                  </w:r>
                </w:p>
              </w:tc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4"/>
                    </w:rPr>
                    <w:t xml:space="preserve">Availability Replica Name</w:t>
                  </w:r>
                </w:p>
              </w:tc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4"/>
                    </w:rPr>
                    <w:t xml:space="preserve">Role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LatencyDemo</w:t>
                  </w:r>
                </w:p>
              </w:tc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NODE1</w:t>
                  </w:r>
                </w:p>
              </w:tc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PRIMARY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LatencyDemo</w:t>
                  </w:r>
                </w:p>
              </w:tc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NODE2</w:t>
                  </w:r>
                </w:p>
              </w:tc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SECONDARY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LatencyDemo</w:t>
                  </w:r>
                </w:p>
              </w:tc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NODE3</w:t>
                  </w:r>
                </w:p>
              </w:tc>
              <w:tc>
                <w:tcPr>
                  <w:tcW w:w="33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SECONDARY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079"/>
            </w:tblGrid>
            <w:tr>
              <w:trPr>
                <w:trHeight w:val="282" w:hRule="atLeast"/>
              </w:trPr>
              <w:tc>
                <w:tcPr>
                  <w:tcW w:w="100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11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9" w:hRule="atLeast"/>
        </w:trPr>
        <w:tc>
          <w:tcPr>
            <w:tcW w:w="74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160"/>
            </w:tblGrid>
            <w:tr>
              <w:trPr>
                <w:trHeight w:val="401" w:hRule="atLeast"/>
              </w:trPr>
              <w:tc>
                <w:tcPr>
                  <w:tcW w:w="201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Latency Graph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4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  <w:hMerge w:val="restart"/>
            <w:tcBorders>
              <w:top w:val="single" w:color="D3D3D3" w:sz="7"/>
              <w:left w:val="single" w:color="D3D3D3" w:sz="7"/>
              <w:bottom w:val="single" w:color="D3D3D3" w:sz="7"/>
              <w:right w:val="single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3009903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300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4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37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  <w:hMerge w:val="restart"/>
            <w:tcBorders>
              <w:top w:val="single" w:color="D3D3D3" w:sz="7"/>
              <w:left w:val="single" w:color="D3D3D3" w:sz="7"/>
              <w:bottom w:val="single" w:color="D3D3D3" w:sz="7"/>
              <w:right w:val="single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3409953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340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0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9" w:hRule="atLeast"/>
        </w:trPr>
        <w:tc>
          <w:tcPr>
            <w:tcW w:w="74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160"/>
            </w:tblGrid>
            <w:tr>
              <w:trPr>
                <w:trHeight w:val="401" w:hRule="atLeast"/>
              </w:trPr>
              <w:tc>
                <w:tcPr>
                  <w:tcW w:w="201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Primary Replica Statistics (microseconds)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Commit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Remote Harden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Compression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Local Flush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FFFFFF"/>
                      <w:sz w:val="28"/>
                    </w:rPr>
                    <w:t xml:space="preserve">Send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8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19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36"/>
                    </w:rPr>
                    <w:t xml:space="preserve">31346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36"/>
                    </w:rPr>
                    <w:t xml:space="preserve">27241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36"/>
                    </w:rPr>
                    <w:t xml:space="preserve">No Data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36"/>
                    </w:rPr>
                    <w:t xml:space="preserve">2064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64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36"/>
                    </w:rPr>
                    <w:t xml:space="preserve">144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8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3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8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3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331"/>
            </w:tblGrid>
            <w:tr>
              <w:trPr>
                <w:trHeight w:val="6402" w:hRule="atLeast"/>
              </w:trPr>
              <w:tc>
                <w:tcPr>
                  <w:tcW w:w="1833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  <w:u w:val="single"/>
                    </w:rPr>
                    <w:t xml:space="preserve">Steps to remove data collection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8"/>
                    </w:rPr>
                    <w:t xml:space="preserve">Execute the following script on all replicas in the Availability Group: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ourier New" w:hAnsi="Courier New" w:eastAsia="Courier New"/>
                      <w:color w:val="000000"/>
                      <w:sz w:val="24"/>
                    </w:rPr>
                  </w:r>
                  <w:r>
                    <w:rPr>
                      <w:rFonts w:ascii="Courier New" w:hAnsi="Courier New" w:eastAsia="Courier New"/>
                      <w:color w:val="000000"/>
                      <w:sz w:val="24"/>
                    </w:rPr>
                    <w:br/>
                  </w:r>
                  <w:r>
                    <w:rPr>
                      <w:rFonts w:ascii="Courier New" w:hAnsi="Courier New" w:eastAsia="Courier New"/>
                      <w:color w:val="008000"/>
                      <w:sz w:val="24"/>
                    </w:rPr>
                    <w:t xml:space="preserve">-- Removes the SQL Agent job created for collecting the diagnostic data</w:t>
                  </w:r>
                  <w:r>
                    <w:rPr>
                      <w:rFonts w:ascii="Courier New" w:hAnsi="Courier New" w:eastAsia="Courier New"/>
                      <w:color w:val="000000"/>
                      <w:sz w:val="24"/>
                    </w:rPr>
                  </w:r>
                  <w:r>
                    <w:rPr>
                      <w:rFonts w:ascii="Courier New" w:hAnsi="Courier New" w:eastAsia="Courier New"/>
                      <w:color w:val="000000"/>
                      <w:sz w:val="24"/>
                    </w:rPr>
                    <w:br/>
                  </w:r>
                  <w:r>
                    <w:rPr>
                      <w:rFonts w:ascii="Courier New" w:hAnsi="Courier New" w:eastAsia="Courier New"/>
                      <w:color w:val="0000FF"/>
                      <w:sz w:val="24"/>
                    </w:rPr>
                    <w:t xml:space="preserve">EXECUTE</w:t>
                  </w:r>
                  <w:r>
                    <w:rPr>
                      <w:rFonts w:ascii="Courier New" w:hAnsi="Courier New" w:eastAsia="Courier New"/>
                      <w:color w:val="000000"/>
                      <w:sz w:val="24"/>
                    </w:rPr>
                    <w:t xml:space="preserve"> msdb.dbo.</w:t>
                  </w:r>
                  <w:r>
                    <w:rPr>
                      <w:rFonts w:ascii="Courier New" w:hAnsi="Courier New" w:eastAsia="Courier New"/>
                      <w:color w:val="800000"/>
                      <w:sz w:val="24"/>
                    </w:rPr>
                    <w:t xml:space="preserve">sp_delete_job</w:t>
                  </w:r>
                  <w:r>
                    <w:rPr>
                      <w:rFonts w:ascii="Courier New" w:hAnsi="Courier New" w:eastAsia="Courier New"/>
                      <w:color w:val="000000"/>
                      <w:sz w:val="24"/>
                    </w:rPr>
                    <w:t xml:space="preserve"> @job_name = </w:t>
                  </w:r>
                  <w:r>
                    <w:rPr>
                      <w:rFonts w:ascii="Courier New" w:hAnsi="Courier New" w:eastAsia="Courier New"/>
                      <w:color w:val="FF0000"/>
                      <w:sz w:val="24"/>
                    </w:rPr>
                    <w:t xml:space="preserve">'AlwaysOn_Latency_Data_Collection'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  <w:u w:val="single"/>
                    </w:rPr>
                    <w:t xml:space="preserve">Steps for collecting data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8"/>
                    </w:rPr>
                    <w:t xml:space="preserve">Collect latency diagnostic data using the following steps:</w:t>
                  </w:r>
                  <w:r>
                    <w:rPr>
                      <w:rFonts w:ascii="Arial" w:hAnsi="Arial" w:eastAsia="Arial"/>
                      <w:color w:val="000000"/>
                      <w:sz w:val="28"/>
                    </w:rPr>
                    <w:br/>
                    <w:t xml:space="preserve">a. Right-click on any of the Availability Groups in SQL Server Management Studio available in the SQL Server AlwaysOn High Availability folder.</w:t>
                  </w:r>
                  <w:r>
                    <w:rPr>
                      <w:rFonts w:ascii="Arial" w:hAnsi="Arial" w:eastAsia="Arial"/>
                      <w:color w:val="000000"/>
                      <w:sz w:val="28"/>
                    </w:rPr>
                    <w:br/>
                    <w:t xml:space="preserve">b. Launch the Availability Group Dashboard by clicking on the "Show Dashboard" option in the context menu.</w:t>
                  </w:r>
                  <w:r>
                    <w:rPr>
                      <w:rFonts w:ascii="Arial" w:hAnsi="Arial" w:eastAsia="Arial"/>
                      <w:color w:val="000000"/>
                      <w:sz w:val="28"/>
                    </w:rPr>
                    <w:br/>
                    <w:t xml:space="preserve">c. Click on "Collect Latency Data" link on the page to initiate a latency data collection.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8"/>
                    </w:rPr>
                    <w:t xml:space="preserve">The diagnostic data collection is done using an Extended Event session, AlwaysOn_Data_Movement_Tracing, which runs as part of a SQL Agent job, AlwaysOn_Latency_Data_Collection, for a period of two minutes.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23040" w:h="15839" w:orient="landscape"/>
      <w:pgMar w:top="1440" w:right="1440" w:bottom="1440" w:left="144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9060"/>
      <w:gridCol w:w="1439"/>
      <w:gridCol w:w="9659"/>
    </w:tblGrid>
    <w:tr>
      <w:trPr/>
      <w:tc>
        <w:tcPr>
          <w:tcW w:w="90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5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0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327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Page 1 of 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65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0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5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