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4B49" w14:textId="61984446" w:rsidR="005F46F5" w:rsidRPr="002F13A2" w:rsidRDefault="00000000" w:rsidP="00D83DB0">
      <w:pPr>
        <w:pStyle w:val="Heading1"/>
        <w:spacing w:before="0" w:after="240" w:line="360" w:lineRule="auto"/>
        <w:rPr>
          <w:rFonts w:ascii="Times New Roman" w:hAnsi="Times New Roman" w:cs="Times New Roman"/>
          <w:sz w:val="32"/>
          <w:szCs w:val="32"/>
        </w:rPr>
      </w:pPr>
      <w:r w:rsidRPr="002F13A2">
        <w:rPr>
          <w:rFonts w:ascii="Times New Roman" w:hAnsi="Times New Roman" w:cs="Times New Roman"/>
          <w:sz w:val="32"/>
          <w:szCs w:val="32"/>
        </w:rPr>
        <w:t>Quantitative Analysis of Determining Environmental Damage Caused by the Garments Industry of Bangladesh</w:t>
      </w:r>
    </w:p>
    <w:p w14:paraId="16B1DC3E" w14:textId="5BC2E8FD" w:rsidR="002F13A2" w:rsidRDefault="00373C6D" w:rsidP="00D83DB0">
      <w:pPr>
        <w:pStyle w:val="Heading2"/>
        <w:spacing w:line="360" w:lineRule="auto"/>
      </w:pPr>
      <w:r>
        <w:t>The Variables</w:t>
      </w:r>
    </w:p>
    <w:p w14:paraId="2079ACAB" w14:textId="4DE0FE89" w:rsidR="00F03A1C" w:rsidRPr="002F13A2" w:rsidRDefault="00000000" w:rsidP="00D83DB0">
      <w:pPr>
        <w:spacing w:line="360" w:lineRule="auto"/>
        <w:jc w:val="both"/>
        <w:rPr>
          <w:rFonts w:ascii="Times New Roman" w:hAnsi="Times New Roman" w:cs="Times New Roman"/>
          <w:sz w:val="24"/>
          <w:szCs w:val="24"/>
        </w:rPr>
      </w:pPr>
      <w:r w:rsidRPr="002F13A2">
        <w:rPr>
          <w:rFonts w:ascii="Times New Roman" w:hAnsi="Times New Roman" w:cs="Times New Roman"/>
          <w:sz w:val="24"/>
          <w:szCs w:val="24"/>
        </w:rPr>
        <w:t>In order to quantify the impact of the garments industry of Bangladesh on the environment,</w:t>
      </w:r>
      <w:r w:rsidR="00281560">
        <w:rPr>
          <w:rFonts w:ascii="Times New Roman" w:hAnsi="Times New Roman" w:cs="Times New Roman"/>
          <w:sz w:val="24"/>
          <w:szCs w:val="24"/>
        </w:rPr>
        <w:t xml:space="preserve"> following the models explored by </w:t>
      </w:r>
      <w:hyperlink r:id="rId7" w:history="1">
        <w:r w:rsidR="00281560" w:rsidRPr="00281560">
          <w:rPr>
            <w:rStyle w:val="Hyperlink"/>
            <w:rFonts w:ascii="Times New Roman" w:hAnsi="Times New Roman" w:cs="Times New Roman"/>
            <w:sz w:val="24"/>
            <w:szCs w:val="24"/>
          </w:rPr>
          <w:t>Mamun et al., 2022</w:t>
        </w:r>
      </w:hyperlink>
      <w:r w:rsidR="00281560" w:rsidRPr="00281560">
        <w:rPr>
          <w:rFonts w:ascii="Times New Roman" w:hAnsi="Times New Roman" w:cs="Times New Roman"/>
          <w:sz w:val="24"/>
          <w:szCs w:val="24"/>
        </w:rPr>
        <w:t xml:space="preserve"> and </w:t>
      </w:r>
      <w:hyperlink r:id="rId8" w:history="1">
        <w:proofErr w:type="spellStart"/>
        <w:r w:rsidR="00281560" w:rsidRPr="00281560">
          <w:rPr>
            <w:rStyle w:val="Hyperlink"/>
            <w:rFonts w:ascii="Times New Roman" w:hAnsi="Times New Roman" w:cs="Times New Roman"/>
            <w:sz w:val="24"/>
            <w:szCs w:val="24"/>
          </w:rPr>
          <w:t>Khuky</w:t>
        </w:r>
        <w:proofErr w:type="spellEnd"/>
        <w:r w:rsidR="00281560" w:rsidRPr="00281560">
          <w:rPr>
            <w:rStyle w:val="Hyperlink"/>
            <w:rFonts w:ascii="Times New Roman" w:hAnsi="Times New Roman" w:cs="Times New Roman"/>
            <w:sz w:val="24"/>
            <w:szCs w:val="24"/>
          </w:rPr>
          <w:t xml:space="preserve">, Hook, Chin, &amp; Bin </w:t>
        </w:r>
        <w:proofErr w:type="spellStart"/>
        <w:r w:rsidR="00281560" w:rsidRPr="00281560">
          <w:rPr>
            <w:rStyle w:val="Hyperlink"/>
            <w:rFonts w:ascii="Times New Roman" w:hAnsi="Times New Roman" w:cs="Times New Roman"/>
            <w:sz w:val="24"/>
            <w:szCs w:val="24"/>
          </w:rPr>
          <w:t>Saari</w:t>
        </w:r>
        <w:proofErr w:type="spellEnd"/>
        <w:r w:rsidR="00281560" w:rsidRPr="00281560">
          <w:rPr>
            <w:rStyle w:val="Hyperlink"/>
            <w:rFonts w:ascii="Times New Roman" w:hAnsi="Times New Roman" w:cs="Times New Roman"/>
            <w:sz w:val="24"/>
            <w:szCs w:val="24"/>
          </w:rPr>
          <w:t>, 2022</w:t>
        </w:r>
      </w:hyperlink>
      <w:r w:rsidR="00281560">
        <w:rPr>
          <w:rFonts w:ascii="Times New Roman" w:hAnsi="Times New Roman" w:cs="Times New Roman"/>
          <w:sz w:val="24"/>
          <w:szCs w:val="24"/>
        </w:rPr>
        <w:t>;</w:t>
      </w:r>
      <w:r w:rsidRPr="002F13A2">
        <w:rPr>
          <w:rFonts w:ascii="Times New Roman" w:hAnsi="Times New Roman" w:cs="Times New Roman"/>
          <w:sz w:val="24"/>
          <w:szCs w:val="24"/>
        </w:rPr>
        <w:t xml:space="preserve"> we assessed the following indicators with a data range of 1984 – 2019 (in some cases, 1984 – 2014) – </w:t>
      </w:r>
    </w:p>
    <w:p w14:paraId="2079ACAC" w14:textId="77777777" w:rsidR="00F03A1C" w:rsidRPr="002F13A2" w:rsidRDefault="00000000" w:rsidP="00D83DB0">
      <w:pPr>
        <w:pStyle w:val="ListParagraph"/>
        <w:numPr>
          <w:ilvl w:val="0"/>
          <w:numId w:val="1"/>
        </w:numPr>
        <w:spacing w:line="360" w:lineRule="auto"/>
        <w:ind w:left="360"/>
        <w:jc w:val="both"/>
        <w:rPr>
          <w:rFonts w:ascii="Times New Roman" w:hAnsi="Times New Roman" w:cs="Times New Roman"/>
          <w:sz w:val="24"/>
          <w:szCs w:val="24"/>
        </w:rPr>
      </w:pPr>
      <w:r w:rsidRPr="002F13A2">
        <w:rPr>
          <w:rFonts w:ascii="Times New Roman" w:hAnsi="Times New Roman" w:cs="Times New Roman"/>
          <w:sz w:val="24"/>
          <w:szCs w:val="24"/>
        </w:rPr>
        <w:t>RMG Export Volume in millions USD</w:t>
      </w:r>
    </w:p>
    <w:p w14:paraId="2079ACAD" w14:textId="77777777" w:rsidR="00F03A1C" w:rsidRPr="002F13A2" w:rsidRDefault="00000000" w:rsidP="00D83DB0">
      <w:pPr>
        <w:pStyle w:val="ListParagraph"/>
        <w:numPr>
          <w:ilvl w:val="0"/>
          <w:numId w:val="1"/>
        </w:numPr>
        <w:spacing w:line="360" w:lineRule="auto"/>
        <w:ind w:left="360"/>
        <w:jc w:val="both"/>
        <w:rPr>
          <w:rFonts w:ascii="Times New Roman" w:hAnsi="Times New Roman" w:cs="Times New Roman"/>
          <w:sz w:val="24"/>
          <w:szCs w:val="24"/>
        </w:rPr>
      </w:pPr>
      <w:r w:rsidRPr="002F13A2">
        <w:rPr>
          <w:rFonts w:ascii="Times New Roman" w:hAnsi="Times New Roman" w:cs="Times New Roman"/>
          <w:sz w:val="24"/>
          <w:szCs w:val="24"/>
        </w:rPr>
        <w:t>CO</w:t>
      </w:r>
      <w:r w:rsidRPr="002F13A2">
        <w:rPr>
          <w:rFonts w:ascii="Times New Roman" w:hAnsi="Times New Roman" w:cs="Times New Roman"/>
          <w:sz w:val="24"/>
          <w:szCs w:val="24"/>
          <w:vertAlign w:val="subscript"/>
        </w:rPr>
        <w:t>2</w:t>
      </w:r>
      <w:r w:rsidRPr="002F13A2">
        <w:rPr>
          <w:rFonts w:ascii="Times New Roman" w:hAnsi="Times New Roman" w:cs="Times New Roman"/>
          <w:sz w:val="24"/>
          <w:szCs w:val="24"/>
        </w:rPr>
        <w:t xml:space="preserve"> emissions</w:t>
      </w:r>
    </w:p>
    <w:p w14:paraId="2079ACAE" w14:textId="77777777" w:rsidR="00F03A1C" w:rsidRPr="002F13A2" w:rsidRDefault="00000000" w:rsidP="00D83DB0">
      <w:pPr>
        <w:pStyle w:val="ListParagraph"/>
        <w:numPr>
          <w:ilvl w:val="1"/>
          <w:numId w:val="1"/>
        </w:numPr>
        <w:spacing w:line="360" w:lineRule="auto"/>
        <w:ind w:left="720"/>
        <w:jc w:val="both"/>
        <w:rPr>
          <w:rFonts w:ascii="Times New Roman" w:hAnsi="Times New Roman" w:cs="Times New Roman"/>
          <w:sz w:val="24"/>
          <w:szCs w:val="24"/>
        </w:rPr>
      </w:pPr>
      <w:r w:rsidRPr="002F13A2">
        <w:rPr>
          <w:rFonts w:ascii="Times New Roman" w:hAnsi="Times New Roman" w:cs="Times New Roman"/>
          <w:sz w:val="24"/>
          <w:szCs w:val="24"/>
        </w:rPr>
        <w:t>Emissions from manufacturing and construction industries (% of total fuel combustion)</w:t>
      </w:r>
    </w:p>
    <w:p w14:paraId="2079ACAF" w14:textId="77777777" w:rsidR="00F03A1C" w:rsidRPr="002F13A2" w:rsidRDefault="00000000" w:rsidP="00D83DB0">
      <w:pPr>
        <w:pStyle w:val="ListParagraph"/>
        <w:numPr>
          <w:ilvl w:val="1"/>
          <w:numId w:val="1"/>
        </w:numPr>
        <w:spacing w:line="360" w:lineRule="auto"/>
        <w:ind w:left="720"/>
        <w:jc w:val="both"/>
        <w:rPr>
          <w:rFonts w:ascii="Times New Roman" w:hAnsi="Times New Roman" w:cs="Times New Roman"/>
          <w:sz w:val="24"/>
          <w:szCs w:val="24"/>
        </w:rPr>
      </w:pPr>
      <w:r w:rsidRPr="002F13A2">
        <w:rPr>
          <w:rFonts w:ascii="Times New Roman" w:hAnsi="Times New Roman" w:cs="Times New Roman"/>
          <w:sz w:val="24"/>
          <w:szCs w:val="24"/>
        </w:rPr>
        <w:t>CO</w:t>
      </w:r>
      <w:r w:rsidRPr="002F13A2">
        <w:rPr>
          <w:rFonts w:ascii="Times New Roman" w:hAnsi="Times New Roman" w:cs="Times New Roman"/>
          <w:sz w:val="24"/>
          <w:szCs w:val="24"/>
          <w:vertAlign w:val="subscript"/>
        </w:rPr>
        <w:t>2</w:t>
      </w:r>
      <w:r w:rsidRPr="002F13A2">
        <w:rPr>
          <w:rFonts w:ascii="Times New Roman" w:hAnsi="Times New Roman" w:cs="Times New Roman"/>
          <w:sz w:val="24"/>
          <w:szCs w:val="24"/>
        </w:rPr>
        <w:t xml:space="preserve"> intensity (kg per kg of oil equivalent energy use)</w:t>
      </w:r>
    </w:p>
    <w:p w14:paraId="2079ACB0" w14:textId="77777777" w:rsidR="00F03A1C" w:rsidRPr="002F13A2" w:rsidRDefault="00000000" w:rsidP="00D83DB0">
      <w:pPr>
        <w:pStyle w:val="ListParagraph"/>
        <w:numPr>
          <w:ilvl w:val="1"/>
          <w:numId w:val="1"/>
        </w:numPr>
        <w:spacing w:line="360" w:lineRule="auto"/>
        <w:ind w:left="720"/>
        <w:jc w:val="both"/>
        <w:rPr>
          <w:rFonts w:ascii="Times New Roman" w:hAnsi="Times New Roman" w:cs="Times New Roman"/>
          <w:sz w:val="24"/>
          <w:szCs w:val="24"/>
        </w:rPr>
      </w:pPr>
      <w:r w:rsidRPr="002F13A2">
        <w:rPr>
          <w:rFonts w:ascii="Times New Roman" w:hAnsi="Times New Roman" w:cs="Times New Roman"/>
          <w:sz w:val="24"/>
          <w:szCs w:val="24"/>
        </w:rPr>
        <w:t>Total emissions (in kilotons)</w:t>
      </w:r>
    </w:p>
    <w:p w14:paraId="2079ACB1" w14:textId="77777777" w:rsidR="00F03A1C" w:rsidRPr="002F13A2" w:rsidRDefault="00000000" w:rsidP="00D83DB0">
      <w:pPr>
        <w:pStyle w:val="ListParagraph"/>
        <w:numPr>
          <w:ilvl w:val="1"/>
          <w:numId w:val="1"/>
        </w:numPr>
        <w:spacing w:line="360" w:lineRule="auto"/>
        <w:ind w:left="720"/>
        <w:jc w:val="both"/>
        <w:rPr>
          <w:rFonts w:ascii="Times New Roman" w:hAnsi="Times New Roman" w:cs="Times New Roman"/>
          <w:sz w:val="24"/>
          <w:szCs w:val="24"/>
        </w:rPr>
      </w:pPr>
      <w:r w:rsidRPr="002F13A2">
        <w:rPr>
          <w:rFonts w:ascii="Times New Roman" w:hAnsi="Times New Roman" w:cs="Times New Roman"/>
          <w:sz w:val="24"/>
          <w:szCs w:val="24"/>
        </w:rPr>
        <w:t>Total emissions (metric tons per capita)</w:t>
      </w:r>
    </w:p>
    <w:p w14:paraId="2079ACB2" w14:textId="77777777" w:rsidR="00F03A1C" w:rsidRPr="002F13A2" w:rsidRDefault="00000000" w:rsidP="00D83DB0">
      <w:pPr>
        <w:pStyle w:val="ListParagraph"/>
        <w:numPr>
          <w:ilvl w:val="1"/>
          <w:numId w:val="1"/>
        </w:numPr>
        <w:spacing w:line="360" w:lineRule="auto"/>
        <w:ind w:left="720"/>
        <w:jc w:val="both"/>
        <w:rPr>
          <w:rFonts w:ascii="Times New Roman" w:hAnsi="Times New Roman" w:cs="Times New Roman"/>
          <w:sz w:val="24"/>
          <w:szCs w:val="24"/>
        </w:rPr>
      </w:pPr>
      <w:r w:rsidRPr="002F13A2">
        <w:rPr>
          <w:rFonts w:ascii="Times New Roman" w:hAnsi="Times New Roman" w:cs="Times New Roman"/>
          <w:sz w:val="24"/>
          <w:szCs w:val="24"/>
        </w:rPr>
        <w:t>Total emissions (kg per 2017 PPP $ of GDP)</w:t>
      </w:r>
    </w:p>
    <w:p w14:paraId="2079ACB3" w14:textId="77777777" w:rsidR="00F03A1C" w:rsidRPr="002F13A2" w:rsidRDefault="00000000" w:rsidP="00D83DB0">
      <w:pPr>
        <w:pStyle w:val="ListParagraph"/>
        <w:numPr>
          <w:ilvl w:val="0"/>
          <w:numId w:val="1"/>
        </w:numPr>
        <w:spacing w:line="360" w:lineRule="auto"/>
        <w:ind w:left="360"/>
        <w:jc w:val="both"/>
        <w:rPr>
          <w:rFonts w:ascii="Times New Roman" w:hAnsi="Times New Roman" w:cs="Times New Roman"/>
          <w:sz w:val="24"/>
          <w:szCs w:val="24"/>
        </w:rPr>
      </w:pPr>
      <w:r w:rsidRPr="002F13A2">
        <w:rPr>
          <w:rFonts w:ascii="Times New Roman" w:hAnsi="Times New Roman" w:cs="Times New Roman"/>
          <w:sz w:val="24"/>
          <w:szCs w:val="24"/>
        </w:rPr>
        <w:t xml:space="preserve">Ecological Footprint </w:t>
      </w:r>
    </w:p>
    <w:p w14:paraId="2079ACB4" w14:textId="77777777" w:rsidR="00F03A1C" w:rsidRPr="002F13A2" w:rsidRDefault="00000000" w:rsidP="00D83DB0">
      <w:pPr>
        <w:pStyle w:val="ListParagraph"/>
        <w:numPr>
          <w:ilvl w:val="1"/>
          <w:numId w:val="1"/>
        </w:numPr>
        <w:spacing w:line="360" w:lineRule="auto"/>
        <w:ind w:left="720"/>
        <w:jc w:val="both"/>
        <w:rPr>
          <w:rFonts w:ascii="Times New Roman" w:hAnsi="Times New Roman" w:cs="Times New Roman"/>
          <w:sz w:val="24"/>
          <w:szCs w:val="24"/>
        </w:rPr>
      </w:pPr>
      <w:r w:rsidRPr="002F13A2">
        <w:rPr>
          <w:rFonts w:ascii="Times New Roman" w:hAnsi="Times New Roman" w:cs="Times New Roman"/>
          <w:sz w:val="24"/>
          <w:szCs w:val="24"/>
        </w:rPr>
        <w:t>Total Ecological Footprint (in Global hectares)</w:t>
      </w:r>
    </w:p>
    <w:p w14:paraId="2079ACB5" w14:textId="77777777" w:rsidR="00F03A1C" w:rsidRPr="002F13A2" w:rsidRDefault="00000000" w:rsidP="00D83DB0">
      <w:pPr>
        <w:pStyle w:val="ListParagraph"/>
        <w:numPr>
          <w:ilvl w:val="1"/>
          <w:numId w:val="1"/>
        </w:numPr>
        <w:spacing w:line="360" w:lineRule="auto"/>
        <w:ind w:left="720"/>
        <w:jc w:val="both"/>
        <w:rPr>
          <w:rFonts w:ascii="Times New Roman" w:hAnsi="Times New Roman" w:cs="Times New Roman"/>
          <w:sz w:val="24"/>
          <w:szCs w:val="24"/>
        </w:rPr>
      </w:pPr>
      <w:r w:rsidRPr="002F13A2">
        <w:rPr>
          <w:rFonts w:ascii="Times New Roman" w:hAnsi="Times New Roman" w:cs="Times New Roman"/>
          <w:sz w:val="24"/>
          <w:szCs w:val="24"/>
        </w:rPr>
        <w:t>Ecological Footprint per Capita (in Global hectares)</w:t>
      </w:r>
    </w:p>
    <w:p w14:paraId="2079ACB6" w14:textId="77777777" w:rsidR="00F03A1C" w:rsidRPr="002F13A2" w:rsidRDefault="00000000" w:rsidP="00D83DB0">
      <w:pPr>
        <w:pStyle w:val="ListParagraph"/>
        <w:numPr>
          <w:ilvl w:val="0"/>
          <w:numId w:val="1"/>
        </w:numPr>
        <w:spacing w:line="360" w:lineRule="auto"/>
        <w:ind w:left="360"/>
        <w:jc w:val="both"/>
        <w:rPr>
          <w:rFonts w:ascii="Times New Roman" w:hAnsi="Times New Roman" w:cs="Times New Roman"/>
          <w:sz w:val="24"/>
          <w:szCs w:val="24"/>
        </w:rPr>
      </w:pPr>
      <w:r w:rsidRPr="002F13A2">
        <w:rPr>
          <w:rFonts w:ascii="Times New Roman" w:hAnsi="Times New Roman" w:cs="Times New Roman"/>
          <w:sz w:val="24"/>
          <w:szCs w:val="24"/>
        </w:rPr>
        <w:t>Fossil Fuel Consumption (% of total fuel consumption)</w:t>
      </w:r>
    </w:p>
    <w:p w14:paraId="2079ACB7" w14:textId="77777777" w:rsidR="00F03A1C" w:rsidRPr="002F13A2" w:rsidRDefault="00000000" w:rsidP="00D83DB0">
      <w:pPr>
        <w:pStyle w:val="ListParagraph"/>
        <w:numPr>
          <w:ilvl w:val="0"/>
          <w:numId w:val="1"/>
        </w:numPr>
        <w:spacing w:line="360" w:lineRule="auto"/>
        <w:ind w:left="360"/>
        <w:jc w:val="both"/>
        <w:rPr>
          <w:rFonts w:ascii="Times New Roman" w:hAnsi="Times New Roman" w:cs="Times New Roman"/>
          <w:sz w:val="24"/>
          <w:szCs w:val="24"/>
        </w:rPr>
      </w:pPr>
      <w:r w:rsidRPr="002F13A2">
        <w:rPr>
          <w:rFonts w:ascii="Times New Roman" w:hAnsi="Times New Roman" w:cs="Times New Roman"/>
          <w:sz w:val="24"/>
          <w:szCs w:val="24"/>
        </w:rPr>
        <w:t>Energy Usage</w:t>
      </w:r>
    </w:p>
    <w:p w14:paraId="2079ACB8" w14:textId="77777777" w:rsidR="00F03A1C" w:rsidRPr="002F13A2" w:rsidRDefault="00000000" w:rsidP="00D83DB0">
      <w:pPr>
        <w:pStyle w:val="ListParagraph"/>
        <w:numPr>
          <w:ilvl w:val="1"/>
          <w:numId w:val="1"/>
        </w:numPr>
        <w:spacing w:line="360" w:lineRule="auto"/>
        <w:ind w:left="720"/>
        <w:jc w:val="both"/>
        <w:rPr>
          <w:rFonts w:ascii="Times New Roman" w:hAnsi="Times New Roman" w:cs="Times New Roman"/>
          <w:sz w:val="24"/>
          <w:szCs w:val="24"/>
        </w:rPr>
      </w:pPr>
      <w:r w:rsidRPr="002F13A2">
        <w:rPr>
          <w:rFonts w:ascii="Times New Roman" w:hAnsi="Times New Roman" w:cs="Times New Roman"/>
          <w:sz w:val="24"/>
          <w:szCs w:val="24"/>
        </w:rPr>
        <w:t>Usage Measured in kg of oil equivalent per capita</w:t>
      </w:r>
    </w:p>
    <w:p w14:paraId="2079ACB9" w14:textId="77777777" w:rsidR="00F03A1C" w:rsidRPr="002F13A2" w:rsidRDefault="00000000" w:rsidP="00D83DB0">
      <w:pPr>
        <w:pStyle w:val="ListParagraph"/>
        <w:numPr>
          <w:ilvl w:val="1"/>
          <w:numId w:val="1"/>
        </w:numPr>
        <w:spacing w:line="360" w:lineRule="auto"/>
        <w:ind w:left="720"/>
        <w:jc w:val="both"/>
        <w:rPr>
          <w:rFonts w:ascii="Times New Roman" w:hAnsi="Times New Roman" w:cs="Times New Roman"/>
          <w:sz w:val="24"/>
          <w:szCs w:val="24"/>
        </w:rPr>
      </w:pPr>
      <w:r w:rsidRPr="002F13A2">
        <w:rPr>
          <w:rFonts w:ascii="Times New Roman" w:hAnsi="Times New Roman" w:cs="Times New Roman"/>
          <w:sz w:val="24"/>
          <w:szCs w:val="24"/>
        </w:rPr>
        <w:t>Usage Per $1000 GDP Measured in kg of oil Equivalent per capita</w:t>
      </w:r>
    </w:p>
    <w:p w14:paraId="2079ACBA" w14:textId="77777777" w:rsidR="00F03A1C" w:rsidRDefault="00000000" w:rsidP="00D83DB0">
      <w:pPr>
        <w:pStyle w:val="ListParagraph"/>
        <w:numPr>
          <w:ilvl w:val="0"/>
          <w:numId w:val="1"/>
        </w:numPr>
        <w:spacing w:line="360" w:lineRule="auto"/>
        <w:ind w:left="360"/>
        <w:jc w:val="both"/>
        <w:rPr>
          <w:rFonts w:ascii="Times New Roman" w:hAnsi="Times New Roman" w:cs="Times New Roman"/>
          <w:sz w:val="24"/>
          <w:szCs w:val="24"/>
        </w:rPr>
      </w:pPr>
      <w:r w:rsidRPr="002F13A2">
        <w:rPr>
          <w:rFonts w:ascii="Times New Roman" w:hAnsi="Times New Roman" w:cs="Times New Roman"/>
          <w:sz w:val="24"/>
          <w:szCs w:val="24"/>
        </w:rPr>
        <w:t>Total Greenhouse Gas Emissions (Kilotons of CO</w:t>
      </w:r>
      <w:r w:rsidRPr="002F13A2">
        <w:rPr>
          <w:rFonts w:ascii="Times New Roman" w:hAnsi="Times New Roman" w:cs="Times New Roman"/>
          <w:sz w:val="24"/>
          <w:szCs w:val="24"/>
          <w:vertAlign w:val="subscript"/>
        </w:rPr>
        <w:t>2</w:t>
      </w:r>
      <w:r w:rsidRPr="002F13A2">
        <w:rPr>
          <w:rFonts w:ascii="Times New Roman" w:hAnsi="Times New Roman" w:cs="Times New Roman"/>
          <w:sz w:val="24"/>
          <w:szCs w:val="24"/>
        </w:rPr>
        <w:t xml:space="preserve"> equivalent)</w:t>
      </w:r>
    </w:p>
    <w:p w14:paraId="6D010ED6" w14:textId="139F5B30" w:rsidR="00373C6D" w:rsidRPr="00373C6D" w:rsidRDefault="00373C6D" w:rsidP="00D83DB0">
      <w:pPr>
        <w:pStyle w:val="Heading2"/>
        <w:spacing w:line="360" w:lineRule="auto"/>
        <w:jc w:val="both"/>
      </w:pPr>
      <w:r>
        <w:t>The Tests and Set of Hypotheses</w:t>
      </w:r>
    </w:p>
    <w:p w14:paraId="3EDFDD0B" w14:textId="067B4134" w:rsidR="00B76FDE" w:rsidRPr="002F13A2" w:rsidRDefault="00000000" w:rsidP="00D83DB0">
      <w:pPr>
        <w:spacing w:line="360" w:lineRule="auto"/>
        <w:jc w:val="both"/>
        <w:rPr>
          <w:rFonts w:ascii="Times New Roman" w:hAnsi="Times New Roman" w:cs="Times New Roman"/>
          <w:sz w:val="24"/>
          <w:szCs w:val="24"/>
        </w:rPr>
      </w:pPr>
      <w:r w:rsidRPr="002F13A2">
        <w:rPr>
          <w:rFonts w:ascii="Times New Roman" w:hAnsi="Times New Roman" w:cs="Times New Roman"/>
          <w:sz w:val="24"/>
          <w:szCs w:val="24"/>
        </w:rPr>
        <w:t xml:space="preserve">Based on the data, we conducted Pearson correlation tests with the RMG export value being the independent variable and the rest of the indicators being dependent variables, each of the indicators representing the environmental impact of the garments industry in their respective pairings. </w:t>
      </w:r>
      <w:r w:rsidR="00826B2D" w:rsidRPr="002F13A2">
        <w:rPr>
          <w:rFonts w:ascii="Times New Roman" w:hAnsi="Times New Roman" w:cs="Times New Roman"/>
          <w:sz w:val="24"/>
          <w:szCs w:val="24"/>
        </w:rPr>
        <w:t>The hypotheses chosen for each pair of variable</w:t>
      </w:r>
      <w:r w:rsidR="00B76FDE" w:rsidRPr="002F13A2">
        <w:rPr>
          <w:rFonts w:ascii="Times New Roman" w:hAnsi="Times New Roman" w:cs="Times New Roman"/>
          <w:sz w:val="24"/>
          <w:szCs w:val="24"/>
        </w:rPr>
        <w:t xml:space="preserve">s in the Pearson Correlation Test were the following – </w:t>
      </w:r>
    </w:p>
    <w:p w14:paraId="3912879B" w14:textId="03736DD9" w:rsidR="00DF2CC5" w:rsidRPr="002F13A2" w:rsidRDefault="00DF2CC5" w:rsidP="00D83DB0">
      <w:pPr>
        <w:spacing w:line="360" w:lineRule="auto"/>
        <w:jc w:val="both"/>
        <w:rPr>
          <w:rFonts w:ascii="Times New Roman" w:hAnsi="Times New Roman" w:cs="Times New Roman"/>
          <w:sz w:val="24"/>
          <w:szCs w:val="24"/>
        </w:rPr>
      </w:pPr>
      <w:r w:rsidRPr="002F13A2">
        <w:rPr>
          <w:rFonts w:ascii="Times New Roman" w:hAnsi="Times New Roman" w:cs="Times New Roman"/>
          <w:sz w:val="24"/>
          <w:szCs w:val="24"/>
        </w:rPr>
        <w:t>H</w:t>
      </w:r>
      <w:r w:rsidRPr="002F13A2">
        <w:rPr>
          <w:rFonts w:ascii="Times New Roman" w:hAnsi="Times New Roman" w:cs="Times New Roman"/>
          <w:sz w:val="24"/>
          <w:szCs w:val="24"/>
          <w:vertAlign w:val="subscript"/>
        </w:rPr>
        <w:t>0</w:t>
      </w:r>
      <w:r w:rsidRPr="002F13A2">
        <w:rPr>
          <w:rFonts w:ascii="Times New Roman" w:hAnsi="Times New Roman" w:cs="Times New Roman"/>
          <w:sz w:val="24"/>
          <w:szCs w:val="24"/>
        </w:rPr>
        <w:t>: ρ = 0 (i.e., the population correlation coefficient is 0; there is no association.)</w:t>
      </w:r>
    </w:p>
    <w:p w14:paraId="395EBA8C" w14:textId="624A56B6" w:rsidR="00B76FDE" w:rsidRDefault="00DF2CC5" w:rsidP="00D83DB0">
      <w:pPr>
        <w:spacing w:line="360" w:lineRule="auto"/>
        <w:jc w:val="both"/>
        <w:rPr>
          <w:rFonts w:ascii="Times New Roman" w:hAnsi="Times New Roman" w:cs="Times New Roman"/>
          <w:sz w:val="24"/>
          <w:szCs w:val="24"/>
        </w:rPr>
      </w:pPr>
      <w:r w:rsidRPr="002F13A2">
        <w:rPr>
          <w:rFonts w:ascii="Times New Roman" w:hAnsi="Times New Roman" w:cs="Times New Roman"/>
          <w:sz w:val="24"/>
          <w:szCs w:val="24"/>
        </w:rPr>
        <w:t>H</w:t>
      </w:r>
      <w:r w:rsidRPr="002F13A2">
        <w:rPr>
          <w:rFonts w:ascii="Times New Roman" w:hAnsi="Times New Roman" w:cs="Times New Roman"/>
          <w:sz w:val="24"/>
          <w:szCs w:val="24"/>
          <w:vertAlign w:val="subscript"/>
        </w:rPr>
        <w:t>1</w:t>
      </w:r>
      <w:r w:rsidRPr="002F13A2">
        <w:rPr>
          <w:rFonts w:ascii="Times New Roman" w:hAnsi="Times New Roman" w:cs="Times New Roman"/>
          <w:sz w:val="24"/>
          <w:szCs w:val="24"/>
        </w:rPr>
        <w:t>: ρ ≠ 0 (i.e., the population correlation coefficient is not 0; a nonzero correlation could exist.)</w:t>
      </w:r>
    </w:p>
    <w:p w14:paraId="4653781D" w14:textId="055F8CD6" w:rsidR="00373C6D" w:rsidRPr="002F13A2" w:rsidRDefault="00373C6D" w:rsidP="00D83DB0">
      <w:pPr>
        <w:pStyle w:val="Heading2"/>
        <w:spacing w:line="360" w:lineRule="auto"/>
        <w:jc w:val="both"/>
      </w:pPr>
      <w:r>
        <w:lastRenderedPageBreak/>
        <w:t xml:space="preserve">The Results </w:t>
      </w:r>
    </w:p>
    <w:p w14:paraId="2079ACBB" w14:textId="06384FEC" w:rsidR="00F03A1C" w:rsidRPr="002F13A2" w:rsidRDefault="00000000" w:rsidP="00D83DB0">
      <w:pPr>
        <w:spacing w:line="360" w:lineRule="auto"/>
        <w:jc w:val="both"/>
        <w:rPr>
          <w:rFonts w:ascii="Times New Roman" w:hAnsi="Times New Roman" w:cs="Times New Roman"/>
          <w:sz w:val="24"/>
          <w:szCs w:val="24"/>
        </w:rPr>
      </w:pPr>
      <w:r w:rsidRPr="002F13A2">
        <w:rPr>
          <w:rFonts w:ascii="Times New Roman" w:hAnsi="Times New Roman" w:cs="Times New Roman"/>
          <w:sz w:val="24"/>
          <w:szCs w:val="24"/>
        </w:rPr>
        <w:t xml:space="preserve">Through the Pearson Correlation Tests conducted in IBM SPSS, we observed the following results – </w:t>
      </w:r>
    </w:p>
    <w:tbl>
      <w:tblPr>
        <w:tblStyle w:val="TableGrid"/>
        <w:tblW w:w="11408"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720"/>
        <w:gridCol w:w="637"/>
        <w:gridCol w:w="807"/>
        <w:gridCol w:w="807"/>
        <w:gridCol w:w="807"/>
        <w:gridCol w:w="1118"/>
        <w:gridCol w:w="807"/>
        <w:gridCol w:w="1001"/>
        <w:gridCol w:w="934"/>
        <w:gridCol w:w="866"/>
        <w:gridCol w:w="788"/>
        <w:gridCol w:w="788"/>
        <w:gridCol w:w="788"/>
      </w:tblGrid>
      <w:tr w:rsidR="00C533B7" w:rsidRPr="00D83DB0" w14:paraId="2079ACC9" w14:textId="77777777" w:rsidTr="00C533B7">
        <w:trPr>
          <w:trHeight w:val="2033"/>
        </w:trPr>
        <w:tc>
          <w:tcPr>
            <w:tcW w:w="1260" w:type="dxa"/>
            <w:gridSpan w:val="2"/>
            <w:tcMar>
              <w:top w:w="0" w:type="dxa"/>
              <w:left w:w="0" w:type="dxa"/>
              <w:bottom w:w="0" w:type="dxa"/>
              <w:right w:w="0" w:type="dxa"/>
            </w:tcMar>
            <w:vAlign w:val="bottom"/>
          </w:tcPr>
          <w:p w14:paraId="2079ACBC" w14:textId="77777777" w:rsidR="00F03A1C" w:rsidRPr="00D83DB0" w:rsidRDefault="00F03A1C" w:rsidP="00D83DB0">
            <w:pPr>
              <w:spacing w:line="360" w:lineRule="auto"/>
              <w:rPr>
                <w:rFonts w:ascii="Times New Roman" w:hAnsi="Times New Roman" w:cs="Times New Roman"/>
                <w:sz w:val="20"/>
                <w:szCs w:val="20"/>
              </w:rPr>
            </w:pPr>
          </w:p>
        </w:tc>
        <w:tc>
          <w:tcPr>
            <w:tcW w:w="637" w:type="dxa"/>
            <w:tcMar>
              <w:top w:w="0" w:type="dxa"/>
              <w:left w:w="0" w:type="dxa"/>
              <w:bottom w:w="0" w:type="dxa"/>
              <w:right w:w="0" w:type="dxa"/>
            </w:tcMar>
            <w:vAlign w:val="bottom"/>
          </w:tcPr>
          <w:p w14:paraId="2079ACBD" w14:textId="77777777"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RMG Export Total</w:t>
            </w:r>
          </w:p>
        </w:tc>
        <w:tc>
          <w:tcPr>
            <w:tcW w:w="807" w:type="dxa"/>
            <w:tcMar>
              <w:top w:w="0" w:type="dxa"/>
              <w:left w:w="0" w:type="dxa"/>
              <w:bottom w:w="0" w:type="dxa"/>
              <w:right w:w="0" w:type="dxa"/>
            </w:tcMar>
            <w:vAlign w:val="bottom"/>
          </w:tcPr>
          <w:p w14:paraId="2079ACBE" w14:textId="77777777"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Ecological Footprint Total</w:t>
            </w:r>
          </w:p>
        </w:tc>
        <w:tc>
          <w:tcPr>
            <w:tcW w:w="807" w:type="dxa"/>
            <w:tcMar>
              <w:top w:w="0" w:type="dxa"/>
              <w:left w:w="0" w:type="dxa"/>
              <w:bottom w:w="0" w:type="dxa"/>
              <w:right w:w="0" w:type="dxa"/>
            </w:tcMar>
            <w:vAlign w:val="bottom"/>
          </w:tcPr>
          <w:p w14:paraId="2079ACBF" w14:textId="77777777"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Ecological Footprint Per Capita</w:t>
            </w:r>
          </w:p>
        </w:tc>
        <w:tc>
          <w:tcPr>
            <w:tcW w:w="807" w:type="dxa"/>
            <w:tcMar>
              <w:top w:w="0" w:type="dxa"/>
              <w:left w:w="0" w:type="dxa"/>
              <w:bottom w:w="0" w:type="dxa"/>
              <w:right w:w="0" w:type="dxa"/>
            </w:tcMar>
            <w:vAlign w:val="bottom"/>
          </w:tcPr>
          <w:p w14:paraId="2079ACC0" w14:textId="1EDF3CB7"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 xml:space="preserve">Energy use (kg of oil equivalent per capita) </w:t>
            </w:r>
          </w:p>
        </w:tc>
        <w:tc>
          <w:tcPr>
            <w:tcW w:w="1118" w:type="dxa"/>
            <w:tcMar>
              <w:top w:w="0" w:type="dxa"/>
              <w:left w:w="0" w:type="dxa"/>
              <w:bottom w:w="0" w:type="dxa"/>
              <w:right w:w="0" w:type="dxa"/>
            </w:tcMar>
            <w:vAlign w:val="bottom"/>
          </w:tcPr>
          <w:p w14:paraId="2079ACC1" w14:textId="425D74B9"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CO2 emissions from manufacturing industries and construction (% of total fuel combustion)</w:t>
            </w:r>
          </w:p>
        </w:tc>
        <w:tc>
          <w:tcPr>
            <w:tcW w:w="807" w:type="dxa"/>
            <w:tcMar>
              <w:top w:w="0" w:type="dxa"/>
              <w:left w:w="0" w:type="dxa"/>
              <w:bottom w:w="0" w:type="dxa"/>
              <w:right w:w="0" w:type="dxa"/>
            </w:tcMar>
            <w:vAlign w:val="bottom"/>
          </w:tcPr>
          <w:p w14:paraId="2079ACC2" w14:textId="1653AA29"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 xml:space="preserve">CO2 intensity (kg per kg of oil equivalent energy use) </w:t>
            </w:r>
          </w:p>
        </w:tc>
        <w:tc>
          <w:tcPr>
            <w:tcW w:w="1001" w:type="dxa"/>
            <w:tcMar>
              <w:top w:w="0" w:type="dxa"/>
              <w:left w:w="0" w:type="dxa"/>
              <w:bottom w:w="0" w:type="dxa"/>
              <w:right w:w="0" w:type="dxa"/>
            </w:tcMar>
            <w:vAlign w:val="bottom"/>
          </w:tcPr>
          <w:p w14:paraId="2079ACC3" w14:textId="22B3AF47"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 xml:space="preserve">Fossil fuel energy consumption (% of total) </w:t>
            </w:r>
          </w:p>
        </w:tc>
        <w:tc>
          <w:tcPr>
            <w:tcW w:w="934" w:type="dxa"/>
            <w:tcMar>
              <w:top w:w="0" w:type="dxa"/>
              <w:left w:w="0" w:type="dxa"/>
              <w:bottom w:w="0" w:type="dxa"/>
              <w:right w:w="0" w:type="dxa"/>
            </w:tcMar>
            <w:vAlign w:val="bottom"/>
          </w:tcPr>
          <w:p w14:paraId="2079ACC4" w14:textId="6257FC1A"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 xml:space="preserve">Total greenhouse gas emissions (kt of CO2 equivalent) </w:t>
            </w:r>
          </w:p>
        </w:tc>
        <w:tc>
          <w:tcPr>
            <w:tcW w:w="866" w:type="dxa"/>
            <w:tcMar>
              <w:top w:w="0" w:type="dxa"/>
              <w:left w:w="0" w:type="dxa"/>
              <w:bottom w:w="0" w:type="dxa"/>
              <w:right w:w="0" w:type="dxa"/>
            </w:tcMar>
            <w:vAlign w:val="bottom"/>
          </w:tcPr>
          <w:p w14:paraId="2079ACC5" w14:textId="646F4BF5"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 xml:space="preserve">Energy use (kg of oil equivalent) per $1,000 GDP (constant 2017 PPP) </w:t>
            </w:r>
          </w:p>
        </w:tc>
        <w:tc>
          <w:tcPr>
            <w:tcW w:w="788" w:type="dxa"/>
            <w:tcMar>
              <w:top w:w="0" w:type="dxa"/>
              <w:left w:w="0" w:type="dxa"/>
              <w:bottom w:w="0" w:type="dxa"/>
              <w:right w:w="0" w:type="dxa"/>
            </w:tcMar>
            <w:vAlign w:val="bottom"/>
          </w:tcPr>
          <w:p w14:paraId="2079ACC6" w14:textId="1CC1E008"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 xml:space="preserve">CO2 emissions (kt) </w:t>
            </w:r>
          </w:p>
        </w:tc>
        <w:tc>
          <w:tcPr>
            <w:tcW w:w="788" w:type="dxa"/>
            <w:tcMar>
              <w:top w:w="0" w:type="dxa"/>
              <w:left w:w="0" w:type="dxa"/>
              <w:bottom w:w="0" w:type="dxa"/>
              <w:right w:w="0" w:type="dxa"/>
            </w:tcMar>
            <w:vAlign w:val="bottom"/>
          </w:tcPr>
          <w:p w14:paraId="2079ACC7" w14:textId="54BC4735"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 xml:space="preserve">CO2 emissions (kg per 2017 PPP $ of GDP) </w:t>
            </w:r>
          </w:p>
        </w:tc>
        <w:tc>
          <w:tcPr>
            <w:tcW w:w="788" w:type="dxa"/>
            <w:tcMar>
              <w:top w:w="0" w:type="dxa"/>
              <w:left w:w="0" w:type="dxa"/>
              <w:bottom w:w="0" w:type="dxa"/>
              <w:right w:w="0" w:type="dxa"/>
            </w:tcMar>
            <w:vAlign w:val="bottom"/>
          </w:tcPr>
          <w:p w14:paraId="2079ACC8" w14:textId="56048DDA" w:rsidR="00F03A1C" w:rsidRPr="00D83DB0" w:rsidRDefault="00000000" w:rsidP="00D83DB0">
            <w:pPr>
              <w:spacing w:line="360" w:lineRule="auto"/>
              <w:jc w:val="center"/>
              <w:rPr>
                <w:rFonts w:ascii="Times New Roman" w:hAnsi="Times New Roman" w:cs="Times New Roman"/>
                <w:sz w:val="20"/>
                <w:szCs w:val="20"/>
              </w:rPr>
            </w:pPr>
            <w:r w:rsidRPr="00D83DB0">
              <w:rPr>
                <w:rFonts w:ascii="Times New Roman" w:eastAsia="Arial" w:hAnsi="Times New Roman" w:cs="Times New Roman"/>
                <w:color w:val="264A60"/>
                <w:sz w:val="20"/>
                <w:szCs w:val="20"/>
              </w:rPr>
              <w:t xml:space="preserve">CO2 emissions (metric tons per capita) </w:t>
            </w:r>
          </w:p>
        </w:tc>
      </w:tr>
      <w:tr w:rsidR="00C533B7" w:rsidRPr="00D83DB0" w14:paraId="2079ACD8" w14:textId="77777777" w:rsidTr="00DF2CC5">
        <w:trPr>
          <w:trHeight w:val="773"/>
        </w:trPr>
        <w:tc>
          <w:tcPr>
            <w:tcW w:w="540" w:type="dxa"/>
            <w:vMerge w:val="restart"/>
            <w:shd w:val="clear" w:color="E0E0E0" w:fill="E0E0E0"/>
            <w:tcMar>
              <w:top w:w="0" w:type="dxa"/>
              <w:left w:w="0" w:type="dxa"/>
              <w:bottom w:w="0" w:type="dxa"/>
              <w:right w:w="0" w:type="dxa"/>
            </w:tcMar>
            <w:vAlign w:val="center"/>
          </w:tcPr>
          <w:p w14:paraId="2079ACCA" w14:textId="77777777" w:rsidR="00F03A1C" w:rsidRPr="00D83DB0" w:rsidRDefault="00000000" w:rsidP="00D83DB0">
            <w:pPr>
              <w:spacing w:line="360" w:lineRule="auto"/>
              <w:rPr>
                <w:rFonts w:ascii="Times New Roman" w:hAnsi="Times New Roman" w:cs="Times New Roman"/>
                <w:sz w:val="20"/>
                <w:szCs w:val="20"/>
              </w:rPr>
            </w:pPr>
            <w:r w:rsidRPr="00D83DB0">
              <w:rPr>
                <w:rFonts w:ascii="Times New Roman" w:eastAsia="Arial" w:hAnsi="Times New Roman" w:cs="Times New Roman"/>
                <w:color w:val="264A60"/>
                <w:sz w:val="20"/>
                <w:szCs w:val="20"/>
              </w:rPr>
              <w:t>RMG Export Total</w:t>
            </w:r>
          </w:p>
        </w:tc>
        <w:tc>
          <w:tcPr>
            <w:tcW w:w="720" w:type="dxa"/>
            <w:shd w:val="clear" w:color="E0E0E0" w:fill="E0E0E0"/>
            <w:tcMar>
              <w:top w:w="0" w:type="dxa"/>
              <w:left w:w="0" w:type="dxa"/>
              <w:bottom w:w="0" w:type="dxa"/>
              <w:right w:w="0" w:type="dxa"/>
            </w:tcMar>
            <w:vAlign w:val="center"/>
          </w:tcPr>
          <w:p w14:paraId="2079ACCB" w14:textId="77777777" w:rsidR="00F03A1C" w:rsidRPr="00D83DB0" w:rsidRDefault="00000000" w:rsidP="00D83DB0">
            <w:pPr>
              <w:spacing w:line="360" w:lineRule="auto"/>
              <w:rPr>
                <w:rFonts w:ascii="Times New Roman" w:hAnsi="Times New Roman" w:cs="Times New Roman"/>
                <w:sz w:val="20"/>
                <w:szCs w:val="20"/>
              </w:rPr>
            </w:pPr>
            <w:r w:rsidRPr="00D83DB0">
              <w:rPr>
                <w:rFonts w:ascii="Times New Roman" w:eastAsia="Arial" w:hAnsi="Times New Roman" w:cs="Times New Roman"/>
                <w:color w:val="264A60"/>
                <w:sz w:val="20"/>
                <w:szCs w:val="20"/>
              </w:rPr>
              <w:t>Pearson Correlation</w:t>
            </w:r>
          </w:p>
        </w:tc>
        <w:tc>
          <w:tcPr>
            <w:tcW w:w="637" w:type="dxa"/>
            <w:tcMar>
              <w:top w:w="0" w:type="dxa"/>
              <w:left w:w="0" w:type="dxa"/>
              <w:bottom w:w="0" w:type="dxa"/>
              <w:right w:w="0" w:type="dxa"/>
            </w:tcMar>
            <w:vAlign w:val="center"/>
          </w:tcPr>
          <w:p w14:paraId="2079ACCC"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1</w:t>
            </w:r>
          </w:p>
        </w:tc>
        <w:tc>
          <w:tcPr>
            <w:tcW w:w="807" w:type="dxa"/>
            <w:tcMar>
              <w:top w:w="0" w:type="dxa"/>
              <w:left w:w="0" w:type="dxa"/>
              <w:bottom w:w="0" w:type="dxa"/>
              <w:right w:w="0" w:type="dxa"/>
            </w:tcMar>
            <w:vAlign w:val="center"/>
          </w:tcPr>
          <w:p w14:paraId="2079ACCD"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.973</w:t>
            </w:r>
            <w:r w:rsidRPr="00D83DB0">
              <w:rPr>
                <w:rFonts w:ascii="Times New Roman" w:eastAsia="Arial" w:hAnsi="Times New Roman" w:cs="Times New Roman"/>
                <w:b/>
                <w:bCs/>
                <w:color w:val="000000"/>
                <w:sz w:val="22"/>
                <w:szCs w:val="22"/>
                <w:vertAlign w:val="superscript"/>
              </w:rPr>
              <w:t>**</w:t>
            </w:r>
          </w:p>
        </w:tc>
        <w:tc>
          <w:tcPr>
            <w:tcW w:w="807" w:type="dxa"/>
            <w:tcMar>
              <w:top w:w="0" w:type="dxa"/>
              <w:left w:w="0" w:type="dxa"/>
              <w:bottom w:w="0" w:type="dxa"/>
              <w:right w:w="0" w:type="dxa"/>
            </w:tcMar>
            <w:vAlign w:val="center"/>
          </w:tcPr>
          <w:p w14:paraId="2079ACCE"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.977</w:t>
            </w:r>
            <w:r w:rsidRPr="00D83DB0">
              <w:rPr>
                <w:rFonts w:ascii="Times New Roman" w:eastAsia="Arial" w:hAnsi="Times New Roman" w:cs="Times New Roman"/>
                <w:b/>
                <w:bCs/>
                <w:color w:val="000000"/>
                <w:sz w:val="22"/>
                <w:szCs w:val="22"/>
                <w:vertAlign w:val="superscript"/>
              </w:rPr>
              <w:t>**</w:t>
            </w:r>
          </w:p>
        </w:tc>
        <w:tc>
          <w:tcPr>
            <w:tcW w:w="807" w:type="dxa"/>
            <w:tcMar>
              <w:top w:w="0" w:type="dxa"/>
              <w:left w:w="0" w:type="dxa"/>
              <w:bottom w:w="0" w:type="dxa"/>
              <w:right w:w="0" w:type="dxa"/>
            </w:tcMar>
            <w:vAlign w:val="center"/>
          </w:tcPr>
          <w:p w14:paraId="2079ACCF"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.968</w:t>
            </w:r>
            <w:r w:rsidRPr="00D83DB0">
              <w:rPr>
                <w:rFonts w:ascii="Times New Roman" w:eastAsia="Arial" w:hAnsi="Times New Roman" w:cs="Times New Roman"/>
                <w:b/>
                <w:bCs/>
                <w:color w:val="000000"/>
                <w:sz w:val="22"/>
                <w:szCs w:val="22"/>
                <w:vertAlign w:val="superscript"/>
              </w:rPr>
              <w:t>**</w:t>
            </w:r>
          </w:p>
        </w:tc>
        <w:tc>
          <w:tcPr>
            <w:tcW w:w="1118" w:type="dxa"/>
            <w:tcMar>
              <w:top w:w="0" w:type="dxa"/>
              <w:left w:w="0" w:type="dxa"/>
              <w:bottom w:w="0" w:type="dxa"/>
              <w:right w:w="0" w:type="dxa"/>
            </w:tcMar>
            <w:vAlign w:val="center"/>
          </w:tcPr>
          <w:p w14:paraId="2079ACD0"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0.076</w:t>
            </w:r>
          </w:p>
        </w:tc>
        <w:tc>
          <w:tcPr>
            <w:tcW w:w="807" w:type="dxa"/>
            <w:tcMar>
              <w:top w:w="0" w:type="dxa"/>
              <w:left w:w="0" w:type="dxa"/>
              <w:bottom w:w="0" w:type="dxa"/>
              <w:right w:w="0" w:type="dxa"/>
            </w:tcMar>
            <w:vAlign w:val="center"/>
          </w:tcPr>
          <w:p w14:paraId="2079ACD1"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.919</w:t>
            </w:r>
            <w:r w:rsidRPr="00D83DB0">
              <w:rPr>
                <w:rFonts w:ascii="Times New Roman" w:eastAsia="Arial" w:hAnsi="Times New Roman" w:cs="Times New Roman"/>
                <w:b/>
                <w:bCs/>
                <w:color w:val="000000"/>
                <w:sz w:val="22"/>
                <w:szCs w:val="22"/>
                <w:vertAlign w:val="superscript"/>
              </w:rPr>
              <w:t>**</w:t>
            </w:r>
          </w:p>
        </w:tc>
        <w:tc>
          <w:tcPr>
            <w:tcW w:w="1001" w:type="dxa"/>
            <w:tcMar>
              <w:top w:w="0" w:type="dxa"/>
              <w:left w:w="0" w:type="dxa"/>
              <w:bottom w:w="0" w:type="dxa"/>
              <w:right w:w="0" w:type="dxa"/>
            </w:tcMar>
            <w:vAlign w:val="center"/>
          </w:tcPr>
          <w:p w14:paraId="2079ACD2"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.860</w:t>
            </w:r>
            <w:r w:rsidRPr="00D83DB0">
              <w:rPr>
                <w:rFonts w:ascii="Times New Roman" w:eastAsia="Arial" w:hAnsi="Times New Roman" w:cs="Times New Roman"/>
                <w:b/>
                <w:bCs/>
                <w:color w:val="000000"/>
                <w:sz w:val="22"/>
                <w:szCs w:val="22"/>
                <w:vertAlign w:val="superscript"/>
              </w:rPr>
              <w:t>**</w:t>
            </w:r>
          </w:p>
        </w:tc>
        <w:tc>
          <w:tcPr>
            <w:tcW w:w="934" w:type="dxa"/>
            <w:tcMar>
              <w:top w:w="0" w:type="dxa"/>
              <w:left w:w="0" w:type="dxa"/>
              <w:bottom w:w="0" w:type="dxa"/>
              <w:right w:w="0" w:type="dxa"/>
            </w:tcMar>
            <w:vAlign w:val="center"/>
          </w:tcPr>
          <w:p w14:paraId="2079ACD3"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.979</w:t>
            </w:r>
            <w:r w:rsidRPr="00D83DB0">
              <w:rPr>
                <w:rFonts w:ascii="Times New Roman" w:eastAsia="Arial" w:hAnsi="Times New Roman" w:cs="Times New Roman"/>
                <w:b/>
                <w:bCs/>
                <w:color w:val="000000"/>
                <w:sz w:val="22"/>
                <w:szCs w:val="22"/>
                <w:vertAlign w:val="superscript"/>
              </w:rPr>
              <w:t>**</w:t>
            </w:r>
          </w:p>
        </w:tc>
        <w:tc>
          <w:tcPr>
            <w:tcW w:w="866" w:type="dxa"/>
            <w:tcMar>
              <w:top w:w="0" w:type="dxa"/>
              <w:left w:w="0" w:type="dxa"/>
              <w:bottom w:w="0" w:type="dxa"/>
              <w:right w:w="0" w:type="dxa"/>
            </w:tcMar>
            <w:vAlign w:val="center"/>
          </w:tcPr>
          <w:p w14:paraId="2079ACD4"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-.916</w:t>
            </w:r>
            <w:r w:rsidRPr="00D83DB0">
              <w:rPr>
                <w:rFonts w:ascii="Times New Roman" w:eastAsia="Arial" w:hAnsi="Times New Roman" w:cs="Times New Roman"/>
                <w:b/>
                <w:bCs/>
                <w:color w:val="000000"/>
                <w:sz w:val="22"/>
                <w:szCs w:val="22"/>
                <w:vertAlign w:val="superscript"/>
              </w:rPr>
              <w:t>**</w:t>
            </w:r>
          </w:p>
        </w:tc>
        <w:tc>
          <w:tcPr>
            <w:tcW w:w="788" w:type="dxa"/>
            <w:tcMar>
              <w:top w:w="0" w:type="dxa"/>
              <w:left w:w="0" w:type="dxa"/>
              <w:bottom w:w="0" w:type="dxa"/>
              <w:right w:w="0" w:type="dxa"/>
            </w:tcMar>
            <w:vAlign w:val="center"/>
          </w:tcPr>
          <w:p w14:paraId="2079ACD5"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.988</w:t>
            </w:r>
            <w:r w:rsidRPr="00D83DB0">
              <w:rPr>
                <w:rFonts w:ascii="Times New Roman" w:eastAsia="Arial" w:hAnsi="Times New Roman" w:cs="Times New Roman"/>
                <w:b/>
                <w:bCs/>
                <w:color w:val="000000"/>
                <w:sz w:val="22"/>
                <w:szCs w:val="22"/>
                <w:vertAlign w:val="superscript"/>
              </w:rPr>
              <w:t>**</w:t>
            </w:r>
          </w:p>
        </w:tc>
        <w:tc>
          <w:tcPr>
            <w:tcW w:w="788" w:type="dxa"/>
            <w:tcMar>
              <w:top w:w="0" w:type="dxa"/>
              <w:left w:w="0" w:type="dxa"/>
              <w:bottom w:w="0" w:type="dxa"/>
              <w:right w:w="0" w:type="dxa"/>
            </w:tcMar>
            <w:vAlign w:val="center"/>
          </w:tcPr>
          <w:p w14:paraId="2079ACD6"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.849</w:t>
            </w:r>
            <w:r w:rsidRPr="00D83DB0">
              <w:rPr>
                <w:rFonts w:ascii="Times New Roman" w:eastAsia="Arial" w:hAnsi="Times New Roman" w:cs="Times New Roman"/>
                <w:b/>
                <w:bCs/>
                <w:color w:val="000000"/>
                <w:sz w:val="22"/>
                <w:szCs w:val="22"/>
                <w:vertAlign w:val="superscript"/>
              </w:rPr>
              <w:t>**</w:t>
            </w:r>
          </w:p>
        </w:tc>
        <w:tc>
          <w:tcPr>
            <w:tcW w:w="788" w:type="dxa"/>
            <w:tcMar>
              <w:top w:w="0" w:type="dxa"/>
              <w:left w:w="0" w:type="dxa"/>
              <w:bottom w:w="0" w:type="dxa"/>
              <w:right w:w="0" w:type="dxa"/>
            </w:tcMar>
            <w:vAlign w:val="center"/>
          </w:tcPr>
          <w:p w14:paraId="2079ACD7" w14:textId="77777777" w:rsidR="00F03A1C" w:rsidRPr="00D83DB0" w:rsidRDefault="00000000" w:rsidP="00D83DB0">
            <w:pPr>
              <w:spacing w:line="360" w:lineRule="auto"/>
              <w:jc w:val="center"/>
              <w:rPr>
                <w:rFonts w:ascii="Times New Roman" w:hAnsi="Times New Roman" w:cs="Times New Roman"/>
                <w:b/>
                <w:bCs/>
                <w:sz w:val="22"/>
                <w:szCs w:val="22"/>
              </w:rPr>
            </w:pPr>
            <w:r w:rsidRPr="00D83DB0">
              <w:rPr>
                <w:rFonts w:ascii="Times New Roman" w:eastAsia="Arial" w:hAnsi="Times New Roman" w:cs="Times New Roman"/>
                <w:b/>
                <w:bCs/>
                <w:color w:val="000000"/>
                <w:sz w:val="22"/>
                <w:szCs w:val="22"/>
              </w:rPr>
              <w:t>.985</w:t>
            </w:r>
            <w:r w:rsidRPr="00D83DB0">
              <w:rPr>
                <w:rFonts w:ascii="Times New Roman" w:eastAsia="Arial" w:hAnsi="Times New Roman" w:cs="Times New Roman"/>
                <w:b/>
                <w:bCs/>
                <w:color w:val="000000"/>
                <w:sz w:val="22"/>
                <w:szCs w:val="22"/>
                <w:vertAlign w:val="superscript"/>
              </w:rPr>
              <w:t>**</w:t>
            </w:r>
          </w:p>
        </w:tc>
      </w:tr>
      <w:tr w:rsidR="00C533B7" w:rsidRPr="00D83DB0" w14:paraId="2079ACE7" w14:textId="77777777" w:rsidTr="00DF2CC5">
        <w:trPr>
          <w:trHeight w:val="521"/>
        </w:trPr>
        <w:tc>
          <w:tcPr>
            <w:tcW w:w="540" w:type="dxa"/>
            <w:vMerge/>
            <w:shd w:val="clear" w:color="E0E0E0" w:fill="E0E0E0"/>
            <w:tcMar>
              <w:top w:w="0" w:type="dxa"/>
              <w:left w:w="0" w:type="dxa"/>
              <w:bottom w:w="0" w:type="dxa"/>
              <w:right w:w="0" w:type="dxa"/>
            </w:tcMar>
          </w:tcPr>
          <w:p w14:paraId="2079ACD9" w14:textId="77777777" w:rsidR="00F03A1C" w:rsidRPr="00D83DB0" w:rsidRDefault="00F03A1C" w:rsidP="00D83DB0">
            <w:pPr>
              <w:spacing w:line="360" w:lineRule="auto"/>
              <w:rPr>
                <w:rFonts w:ascii="Times New Roman" w:hAnsi="Times New Roman" w:cs="Times New Roman"/>
                <w:sz w:val="20"/>
                <w:szCs w:val="20"/>
              </w:rPr>
            </w:pPr>
          </w:p>
        </w:tc>
        <w:tc>
          <w:tcPr>
            <w:tcW w:w="720" w:type="dxa"/>
            <w:shd w:val="clear" w:color="E0E0E0" w:fill="E0E0E0"/>
            <w:tcMar>
              <w:top w:w="0" w:type="dxa"/>
              <w:left w:w="0" w:type="dxa"/>
              <w:bottom w:w="0" w:type="dxa"/>
              <w:right w:w="0" w:type="dxa"/>
            </w:tcMar>
            <w:vAlign w:val="center"/>
          </w:tcPr>
          <w:p w14:paraId="2079ACDA" w14:textId="77777777" w:rsidR="00F03A1C" w:rsidRPr="00D83DB0" w:rsidRDefault="00000000" w:rsidP="00D83DB0">
            <w:pPr>
              <w:spacing w:line="360" w:lineRule="auto"/>
              <w:rPr>
                <w:rFonts w:ascii="Times New Roman" w:hAnsi="Times New Roman" w:cs="Times New Roman"/>
                <w:sz w:val="20"/>
                <w:szCs w:val="20"/>
              </w:rPr>
            </w:pPr>
            <w:r w:rsidRPr="00D83DB0">
              <w:rPr>
                <w:rFonts w:ascii="Times New Roman" w:eastAsia="Arial" w:hAnsi="Times New Roman" w:cs="Times New Roman"/>
                <w:color w:val="264A60"/>
                <w:sz w:val="20"/>
                <w:szCs w:val="20"/>
              </w:rPr>
              <w:t>Sig. (2-tailed)</w:t>
            </w:r>
          </w:p>
        </w:tc>
        <w:tc>
          <w:tcPr>
            <w:tcW w:w="637" w:type="dxa"/>
            <w:tcMar>
              <w:top w:w="0" w:type="dxa"/>
              <w:left w:w="0" w:type="dxa"/>
              <w:bottom w:w="0" w:type="dxa"/>
              <w:right w:w="0" w:type="dxa"/>
            </w:tcMar>
            <w:vAlign w:val="center"/>
          </w:tcPr>
          <w:p w14:paraId="2079ACDB" w14:textId="77777777" w:rsidR="00F03A1C" w:rsidRPr="00D83DB0" w:rsidRDefault="00F03A1C" w:rsidP="00D83DB0">
            <w:pPr>
              <w:spacing w:line="360" w:lineRule="auto"/>
              <w:jc w:val="center"/>
              <w:rPr>
                <w:rFonts w:ascii="Times New Roman" w:hAnsi="Times New Roman" w:cs="Times New Roman"/>
                <w:sz w:val="22"/>
                <w:szCs w:val="22"/>
              </w:rPr>
            </w:pPr>
          </w:p>
        </w:tc>
        <w:tc>
          <w:tcPr>
            <w:tcW w:w="807" w:type="dxa"/>
            <w:tcMar>
              <w:top w:w="0" w:type="dxa"/>
              <w:left w:w="0" w:type="dxa"/>
              <w:bottom w:w="0" w:type="dxa"/>
              <w:right w:w="0" w:type="dxa"/>
            </w:tcMar>
            <w:vAlign w:val="center"/>
          </w:tcPr>
          <w:p w14:paraId="2079ACDC"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c>
          <w:tcPr>
            <w:tcW w:w="807" w:type="dxa"/>
            <w:tcMar>
              <w:top w:w="0" w:type="dxa"/>
              <w:left w:w="0" w:type="dxa"/>
              <w:bottom w:w="0" w:type="dxa"/>
              <w:right w:w="0" w:type="dxa"/>
            </w:tcMar>
            <w:vAlign w:val="center"/>
          </w:tcPr>
          <w:p w14:paraId="2079ACDD"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c>
          <w:tcPr>
            <w:tcW w:w="807" w:type="dxa"/>
            <w:tcMar>
              <w:top w:w="0" w:type="dxa"/>
              <w:left w:w="0" w:type="dxa"/>
              <w:bottom w:w="0" w:type="dxa"/>
              <w:right w:w="0" w:type="dxa"/>
            </w:tcMar>
            <w:vAlign w:val="center"/>
          </w:tcPr>
          <w:p w14:paraId="2079ACDE"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c>
          <w:tcPr>
            <w:tcW w:w="1118" w:type="dxa"/>
            <w:tcMar>
              <w:top w:w="0" w:type="dxa"/>
              <w:left w:w="0" w:type="dxa"/>
              <w:bottom w:w="0" w:type="dxa"/>
              <w:right w:w="0" w:type="dxa"/>
            </w:tcMar>
            <w:vAlign w:val="center"/>
          </w:tcPr>
          <w:p w14:paraId="2079ACDF"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0.685</w:t>
            </w:r>
          </w:p>
        </w:tc>
        <w:tc>
          <w:tcPr>
            <w:tcW w:w="807" w:type="dxa"/>
            <w:tcMar>
              <w:top w:w="0" w:type="dxa"/>
              <w:left w:w="0" w:type="dxa"/>
              <w:bottom w:w="0" w:type="dxa"/>
              <w:right w:w="0" w:type="dxa"/>
            </w:tcMar>
            <w:vAlign w:val="center"/>
          </w:tcPr>
          <w:p w14:paraId="2079ACE0"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c>
          <w:tcPr>
            <w:tcW w:w="1001" w:type="dxa"/>
            <w:tcMar>
              <w:top w:w="0" w:type="dxa"/>
              <w:left w:w="0" w:type="dxa"/>
              <w:bottom w:w="0" w:type="dxa"/>
              <w:right w:w="0" w:type="dxa"/>
            </w:tcMar>
            <w:vAlign w:val="center"/>
          </w:tcPr>
          <w:p w14:paraId="2079ACE1"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c>
          <w:tcPr>
            <w:tcW w:w="934" w:type="dxa"/>
            <w:tcMar>
              <w:top w:w="0" w:type="dxa"/>
              <w:left w:w="0" w:type="dxa"/>
              <w:bottom w:w="0" w:type="dxa"/>
              <w:right w:w="0" w:type="dxa"/>
            </w:tcMar>
            <w:vAlign w:val="center"/>
          </w:tcPr>
          <w:p w14:paraId="2079ACE2"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c>
          <w:tcPr>
            <w:tcW w:w="866" w:type="dxa"/>
            <w:tcMar>
              <w:top w:w="0" w:type="dxa"/>
              <w:left w:w="0" w:type="dxa"/>
              <w:bottom w:w="0" w:type="dxa"/>
              <w:right w:w="0" w:type="dxa"/>
            </w:tcMar>
            <w:vAlign w:val="center"/>
          </w:tcPr>
          <w:p w14:paraId="2079ACE3"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c>
          <w:tcPr>
            <w:tcW w:w="788" w:type="dxa"/>
            <w:tcMar>
              <w:top w:w="0" w:type="dxa"/>
              <w:left w:w="0" w:type="dxa"/>
              <w:bottom w:w="0" w:type="dxa"/>
              <w:right w:w="0" w:type="dxa"/>
            </w:tcMar>
            <w:vAlign w:val="center"/>
          </w:tcPr>
          <w:p w14:paraId="2079ACE4"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c>
          <w:tcPr>
            <w:tcW w:w="788" w:type="dxa"/>
            <w:tcMar>
              <w:top w:w="0" w:type="dxa"/>
              <w:left w:w="0" w:type="dxa"/>
              <w:bottom w:w="0" w:type="dxa"/>
              <w:right w:w="0" w:type="dxa"/>
            </w:tcMar>
            <w:vAlign w:val="center"/>
          </w:tcPr>
          <w:p w14:paraId="2079ACE5"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c>
          <w:tcPr>
            <w:tcW w:w="788" w:type="dxa"/>
            <w:tcMar>
              <w:top w:w="0" w:type="dxa"/>
              <w:left w:w="0" w:type="dxa"/>
              <w:bottom w:w="0" w:type="dxa"/>
              <w:right w:w="0" w:type="dxa"/>
            </w:tcMar>
            <w:vAlign w:val="center"/>
          </w:tcPr>
          <w:p w14:paraId="2079ACE6"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0.000</w:t>
            </w:r>
          </w:p>
        </w:tc>
      </w:tr>
      <w:tr w:rsidR="00C533B7" w:rsidRPr="00D83DB0" w14:paraId="2079ACF6" w14:textId="77777777" w:rsidTr="00DF2CC5">
        <w:trPr>
          <w:trHeight w:val="359"/>
        </w:trPr>
        <w:tc>
          <w:tcPr>
            <w:tcW w:w="540" w:type="dxa"/>
            <w:vMerge/>
            <w:shd w:val="clear" w:color="E0E0E0" w:fill="E0E0E0"/>
            <w:tcMar>
              <w:top w:w="0" w:type="dxa"/>
              <w:left w:w="0" w:type="dxa"/>
              <w:bottom w:w="0" w:type="dxa"/>
              <w:right w:w="0" w:type="dxa"/>
            </w:tcMar>
          </w:tcPr>
          <w:p w14:paraId="2079ACE8" w14:textId="77777777" w:rsidR="00F03A1C" w:rsidRPr="00D83DB0" w:rsidRDefault="00F03A1C" w:rsidP="00D83DB0">
            <w:pPr>
              <w:spacing w:line="360" w:lineRule="auto"/>
              <w:rPr>
                <w:rFonts w:ascii="Times New Roman" w:hAnsi="Times New Roman" w:cs="Times New Roman"/>
                <w:sz w:val="20"/>
                <w:szCs w:val="20"/>
              </w:rPr>
            </w:pPr>
          </w:p>
        </w:tc>
        <w:tc>
          <w:tcPr>
            <w:tcW w:w="720" w:type="dxa"/>
            <w:shd w:val="clear" w:color="E0E0E0" w:fill="E0E0E0"/>
            <w:tcMar>
              <w:top w:w="0" w:type="dxa"/>
              <w:left w:w="0" w:type="dxa"/>
              <w:bottom w:w="0" w:type="dxa"/>
              <w:right w:w="0" w:type="dxa"/>
            </w:tcMar>
            <w:vAlign w:val="center"/>
          </w:tcPr>
          <w:p w14:paraId="2079ACE9" w14:textId="77777777" w:rsidR="00F03A1C" w:rsidRPr="00D83DB0" w:rsidRDefault="00000000" w:rsidP="00D83DB0">
            <w:pPr>
              <w:spacing w:line="360" w:lineRule="auto"/>
              <w:rPr>
                <w:rFonts w:ascii="Times New Roman" w:hAnsi="Times New Roman" w:cs="Times New Roman"/>
                <w:sz w:val="20"/>
                <w:szCs w:val="20"/>
              </w:rPr>
            </w:pPr>
            <w:r w:rsidRPr="00D83DB0">
              <w:rPr>
                <w:rFonts w:ascii="Times New Roman" w:eastAsia="Arial" w:hAnsi="Times New Roman" w:cs="Times New Roman"/>
                <w:color w:val="264A60"/>
                <w:sz w:val="20"/>
                <w:szCs w:val="20"/>
              </w:rPr>
              <w:t>N</w:t>
            </w:r>
          </w:p>
        </w:tc>
        <w:tc>
          <w:tcPr>
            <w:tcW w:w="637" w:type="dxa"/>
            <w:tcMar>
              <w:top w:w="0" w:type="dxa"/>
              <w:left w:w="0" w:type="dxa"/>
              <w:bottom w:w="0" w:type="dxa"/>
              <w:right w:w="0" w:type="dxa"/>
            </w:tcMar>
            <w:vAlign w:val="center"/>
          </w:tcPr>
          <w:p w14:paraId="2079ACEA"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35</w:t>
            </w:r>
          </w:p>
        </w:tc>
        <w:tc>
          <w:tcPr>
            <w:tcW w:w="807" w:type="dxa"/>
            <w:tcMar>
              <w:top w:w="0" w:type="dxa"/>
              <w:left w:w="0" w:type="dxa"/>
              <w:bottom w:w="0" w:type="dxa"/>
              <w:right w:w="0" w:type="dxa"/>
            </w:tcMar>
            <w:vAlign w:val="center"/>
          </w:tcPr>
          <w:p w14:paraId="2079ACEB"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35</w:t>
            </w:r>
          </w:p>
        </w:tc>
        <w:tc>
          <w:tcPr>
            <w:tcW w:w="807" w:type="dxa"/>
            <w:tcMar>
              <w:top w:w="0" w:type="dxa"/>
              <w:left w:w="0" w:type="dxa"/>
              <w:bottom w:w="0" w:type="dxa"/>
              <w:right w:w="0" w:type="dxa"/>
            </w:tcMar>
            <w:vAlign w:val="center"/>
          </w:tcPr>
          <w:p w14:paraId="2079ACEC"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35</w:t>
            </w:r>
          </w:p>
        </w:tc>
        <w:tc>
          <w:tcPr>
            <w:tcW w:w="807" w:type="dxa"/>
            <w:tcMar>
              <w:top w:w="0" w:type="dxa"/>
              <w:left w:w="0" w:type="dxa"/>
              <w:bottom w:w="0" w:type="dxa"/>
              <w:right w:w="0" w:type="dxa"/>
            </w:tcMar>
            <w:vAlign w:val="center"/>
          </w:tcPr>
          <w:p w14:paraId="2079ACED"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31</w:t>
            </w:r>
          </w:p>
        </w:tc>
        <w:tc>
          <w:tcPr>
            <w:tcW w:w="1118" w:type="dxa"/>
            <w:tcMar>
              <w:top w:w="0" w:type="dxa"/>
              <w:left w:w="0" w:type="dxa"/>
              <w:bottom w:w="0" w:type="dxa"/>
              <w:right w:w="0" w:type="dxa"/>
            </w:tcMar>
            <w:vAlign w:val="center"/>
          </w:tcPr>
          <w:p w14:paraId="2079ACEE"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31</w:t>
            </w:r>
          </w:p>
        </w:tc>
        <w:tc>
          <w:tcPr>
            <w:tcW w:w="807" w:type="dxa"/>
            <w:tcMar>
              <w:top w:w="0" w:type="dxa"/>
              <w:left w:w="0" w:type="dxa"/>
              <w:bottom w:w="0" w:type="dxa"/>
              <w:right w:w="0" w:type="dxa"/>
            </w:tcMar>
            <w:vAlign w:val="center"/>
          </w:tcPr>
          <w:p w14:paraId="2079ACEF"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31</w:t>
            </w:r>
          </w:p>
        </w:tc>
        <w:tc>
          <w:tcPr>
            <w:tcW w:w="1001" w:type="dxa"/>
            <w:tcMar>
              <w:top w:w="0" w:type="dxa"/>
              <w:left w:w="0" w:type="dxa"/>
              <w:bottom w:w="0" w:type="dxa"/>
              <w:right w:w="0" w:type="dxa"/>
            </w:tcMar>
            <w:vAlign w:val="center"/>
          </w:tcPr>
          <w:p w14:paraId="2079ACF0"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31</w:t>
            </w:r>
          </w:p>
        </w:tc>
        <w:tc>
          <w:tcPr>
            <w:tcW w:w="934" w:type="dxa"/>
            <w:tcMar>
              <w:top w:w="0" w:type="dxa"/>
              <w:left w:w="0" w:type="dxa"/>
              <w:bottom w:w="0" w:type="dxa"/>
              <w:right w:w="0" w:type="dxa"/>
            </w:tcMar>
            <w:vAlign w:val="center"/>
          </w:tcPr>
          <w:p w14:paraId="2079ACF1"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29</w:t>
            </w:r>
          </w:p>
        </w:tc>
        <w:tc>
          <w:tcPr>
            <w:tcW w:w="866" w:type="dxa"/>
            <w:tcMar>
              <w:top w:w="0" w:type="dxa"/>
              <w:left w:w="0" w:type="dxa"/>
              <w:bottom w:w="0" w:type="dxa"/>
              <w:right w:w="0" w:type="dxa"/>
            </w:tcMar>
            <w:vAlign w:val="center"/>
          </w:tcPr>
          <w:p w14:paraId="2079ACF2"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25</w:t>
            </w:r>
          </w:p>
        </w:tc>
        <w:tc>
          <w:tcPr>
            <w:tcW w:w="788" w:type="dxa"/>
            <w:tcMar>
              <w:top w:w="0" w:type="dxa"/>
              <w:left w:w="0" w:type="dxa"/>
              <w:bottom w:w="0" w:type="dxa"/>
              <w:right w:w="0" w:type="dxa"/>
            </w:tcMar>
            <w:vAlign w:val="center"/>
          </w:tcPr>
          <w:p w14:paraId="2079ACF3"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29</w:t>
            </w:r>
          </w:p>
        </w:tc>
        <w:tc>
          <w:tcPr>
            <w:tcW w:w="788" w:type="dxa"/>
            <w:tcMar>
              <w:top w:w="0" w:type="dxa"/>
              <w:left w:w="0" w:type="dxa"/>
              <w:bottom w:w="0" w:type="dxa"/>
              <w:right w:w="0" w:type="dxa"/>
            </w:tcMar>
            <w:vAlign w:val="center"/>
          </w:tcPr>
          <w:p w14:paraId="2079ACF4"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29</w:t>
            </w:r>
          </w:p>
        </w:tc>
        <w:tc>
          <w:tcPr>
            <w:tcW w:w="788" w:type="dxa"/>
            <w:tcMar>
              <w:top w:w="0" w:type="dxa"/>
              <w:left w:w="0" w:type="dxa"/>
              <w:bottom w:w="0" w:type="dxa"/>
              <w:right w:w="0" w:type="dxa"/>
            </w:tcMar>
            <w:vAlign w:val="center"/>
          </w:tcPr>
          <w:p w14:paraId="2079ACF5" w14:textId="77777777" w:rsidR="00F03A1C" w:rsidRPr="00D83DB0" w:rsidRDefault="00000000" w:rsidP="00D83DB0">
            <w:pPr>
              <w:spacing w:line="360" w:lineRule="auto"/>
              <w:jc w:val="center"/>
              <w:rPr>
                <w:rFonts w:ascii="Times New Roman" w:hAnsi="Times New Roman" w:cs="Times New Roman"/>
                <w:sz w:val="22"/>
                <w:szCs w:val="22"/>
              </w:rPr>
            </w:pPr>
            <w:r w:rsidRPr="00D83DB0">
              <w:rPr>
                <w:rFonts w:ascii="Times New Roman" w:eastAsia="Arial" w:hAnsi="Times New Roman" w:cs="Times New Roman"/>
                <w:color w:val="010205"/>
                <w:sz w:val="22"/>
                <w:szCs w:val="22"/>
              </w:rPr>
              <w:t>29</w:t>
            </w:r>
          </w:p>
        </w:tc>
      </w:tr>
      <w:tr w:rsidR="00D81040" w:rsidRPr="00D83DB0" w14:paraId="06125460" w14:textId="77777777" w:rsidTr="00A92BEC">
        <w:trPr>
          <w:trHeight w:val="395"/>
        </w:trPr>
        <w:tc>
          <w:tcPr>
            <w:tcW w:w="11408" w:type="dxa"/>
            <w:gridSpan w:val="14"/>
            <w:shd w:val="clear" w:color="auto" w:fill="auto"/>
            <w:tcMar>
              <w:top w:w="0" w:type="dxa"/>
              <w:left w:w="0" w:type="dxa"/>
              <w:bottom w:w="0" w:type="dxa"/>
              <w:right w:w="0" w:type="dxa"/>
            </w:tcMar>
          </w:tcPr>
          <w:p w14:paraId="08998F12" w14:textId="0B08E093" w:rsidR="00D81040" w:rsidRPr="00D83DB0" w:rsidRDefault="00A92BEC" w:rsidP="00D83DB0">
            <w:pPr>
              <w:keepNext/>
              <w:spacing w:line="360" w:lineRule="auto"/>
              <w:rPr>
                <w:rFonts w:ascii="Times New Roman" w:eastAsia="Arial" w:hAnsi="Times New Roman" w:cs="Times New Roman"/>
                <w:b/>
                <w:bCs/>
                <w:color w:val="010205"/>
                <w:sz w:val="22"/>
                <w:szCs w:val="22"/>
              </w:rPr>
            </w:pPr>
            <w:r w:rsidRPr="00D83DB0">
              <w:rPr>
                <w:rFonts w:ascii="Times New Roman" w:eastAsia="Arial" w:hAnsi="Times New Roman" w:cs="Times New Roman"/>
                <w:b/>
                <w:bCs/>
                <w:color w:val="010205"/>
                <w:sz w:val="22"/>
                <w:szCs w:val="22"/>
              </w:rPr>
              <w:t xml:space="preserve">Note: </w:t>
            </w:r>
            <w:r w:rsidR="000C117E" w:rsidRPr="00D83DB0">
              <w:rPr>
                <w:rFonts w:ascii="Times New Roman" w:eastAsia="Arial" w:hAnsi="Times New Roman" w:cs="Times New Roman"/>
                <w:b/>
                <w:bCs/>
                <w:color w:val="010205"/>
                <w:sz w:val="22"/>
                <w:szCs w:val="22"/>
              </w:rPr>
              <w:t xml:space="preserve">Correlations </w:t>
            </w:r>
            <w:r w:rsidR="00DF2CC5" w:rsidRPr="00D83DB0">
              <w:rPr>
                <w:rFonts w:ascii="Times New Roman" w:eastAsia="Arial" w:hAnsi="Times New Roman" w:cs="Times New Roman"/>
                <w:b/>
                <w:bCs/>
                <w:color w:val="010205"/>
                <w:sz w:val="22"/>
                <w:szCs w:val="22"/>
              </w:rPr>
              <w:t xml:space="preserve">in bold and </w:t>
            </w:r>
            <w:r w:rsidR="000C117E" w:rsidRPr="00D83DB0">
              <w:rPr>
                <w:rFonts w:ascii="Times New Roman" w:eastAsia="Arial" w:hAnsi="Times New Roman" w:cs="Times New Roman"/>
                <w:b/>
                <w:bCs/>
                <w:color w:val="010205"/>
                <w:sz w:val="22"/>
                <w:szCs w:val="22"/>
              </w:rPr>
              <w:t>marked with asterisks represent correlations significant at a</w:t>
            </w:r>
            <w:r w:rsidRPr="00D83DB0">
              <w:rPr>
                <w:rFonts w:ascii="Times New Roman" w:eastAsia="Arial" w:hAnsi="Times New Roman" w:cs="Times New Roman"/>
                <w:b/>
                <w:bCs/>
                <w:color w:val="010205"/>
                <w:sz w:val="22"/>
                <w:szCs w:val="22"/>
              </w:rPr>
              <w:t>n alpha level of 0.01 or 1%</w:t>
            </w:r>
          </w:p>
        </w:tc>
      </w:tr>
    </w:tbl>
    <w:p w14:paraId="514E7AEF" w14:textId="7CE37C92" w:rsidR="009836B8" w:rsidRPr="002F13A2" w:rsidRDefault="009836B8" w:rsidP="00D83DB0">
      <w:pPr>
        <w:pStyle w:val="Caption"/>
        <w:spacing w:before="240" w:line="360" w:lineRule="auto"/>
        <w:jc w:val="center"/>
        <w:rPr>
          <w:rFonts w:ascii="Times New Roman" w:hAnsi="Times New Roman" w:cs="Times New Roman"/>
          <w:sz w:val="24"/>
          <w:szCs w:val="24"/>
        </w:rPr>
      </w:pPr>
      <w:r w:rsidRPr="002F13A2">
        <w:rPr>
          <w:rFonts w:ascii="Times New Roman" w:hAnsi="Times New Roman" w:cs="Times New Roman"/>
          <w:sz w:val="24"/>
          <w:szCs w:val="24"/>
        </w:rPr>
        <w:t xml:space="preserve">Table </w:t>
      </w:r>
      <w:r w:rsidRPr="002F13A2">
        <w:rPr>
          <w:rFonts w:ascii="Times New Roman" w:hAnsi="Times New Roman" w:cs="Times New Roman"/>
          <w:sz w:val="24"/>
          <w:szCs w:val="24"/>
        </w:rPr>
        <w:fldChar w:fldCharType="begin"/>
      </w:r>
      <w:r w:rsidRPr="002F13A2">
        <w:rPr>
          <w:rFonts w:ascii="Times New Roman" w:hAnsi="Times New Roman" w:cs="Times New Roman"/>
          <w:sz w:val="24"/>
          <w:szCs w:val="24"/>
        </w:rPr>
        <w:instrText xml:space="preserve"> SEQ Table \* ARABIC </w:instrText>
      </w:r>
      <w:r w:rsidRPr="002F13A2">
        <w:rPr>
          <w:rFonts w:ascii="Times New Roman" w:hAnsi="Times New Roman" w:cs="Times New Roman"/>
          <w:sz w:val="24"/>
          <w:szCs w:val="24"/>
        </w:rPr>
        <w:fldChar w:fldCharType="separate"/>
      </w:r>
      <w:r w:rsidR="005A3DA7">
        <w:rPr>
          <w:rFonts w:ascii="Times New Roman" w:hAnsi="Times New Roman" w:cs="Times New Roman"/>
          <w:noProof/>
          <w:sz w:val="24"/>
          <w:szCs w:val="24"/>
        </w:rPr>
        <w:t>1</w:t>
      </w:r>
      <w:r w:rsidRPr="002F13A2">
        <w:rPr>
          <w:rFonts w:ascii="Times New Roman" w:hAnsi="Times New Roman" w:cs="Times New Roman"/>
          <w:sz w:val="24"/>
          <w:szCs w:val="24"/>
        </w:rPr>
        <w:fldChar w:fldCharType="end"/>
      </w:r>
      <w:r w:rsidRPr="002F13A2">
        <w:rPr>
          <w:rFonts w:ascii="Times New Roman" w:hAnsi="Times New Roman" w:cs="Times New Roman"/>
          <w:sz w:val="24"/>
          <w:szCs w:val="24"/>
        </w:rPr>
        <w:t xml:space="preserve"> - Pearson Correlation Test Results</w:t>
      </w:r>
    </w:p>
    <w:p w14:paraId="2079ACF8" w14:textId="775ACE93" w:rsidR="00F03A1C" w:rsidRDefault="00000000" w:rsidP="00D83DB0">
      <w:pPr>
        <w:spacing w:before="240" w:line="360" w:lineRule="auto"/>
        <w:jc w:val="both"/>
        <w:rPr>
          <w:rFonts w:ascii="Times New Roman" w:hAnsi="Times New Roman" w:cs="Times New Roman"/>
          <w:sz w:val="24"/>
          <w:szCs w:val="24"/>
        </w:rPr>
      </w:pPr>
      <w:r w:rsidRPr="002F13A2">
        <w:rPr>
          <w:rFonts w:ascii="Times New Roman" w:hAnsi="Times New Roman" w:cs="Times New Roman"/>
          <w:sz w:val="24"/>
          <w:szCs w:val="24"/>
        </w:rPr>
        <w:t xml:space="preserve">Based on the </w:t>
      </w:r>
      <w:r w:rsidR="00BC491D" w:rsidRPr="002F13A2">
        <w:rPr>
          <w:rFonts w:ascii="Times New Roman" w:hAnsi="Times New Roman" w:cs="Times New Roman"/>
          <w:sz w:val="24"/>
          <w:szCs w:val="24"/>
        </w:rPr>
        <w:t xml:space="preserve">results seen here, we can establish that there is a strong positive linear </w:t>
      </w:r>
      <w:r w:rsidR="004B44B1" w:rsidRPr="002F13A2">
        <w:rPr>
          <w:rFonts w:ascii="Times New Roman" w:hAnsi="Times New Roman" w:cs="Times New Roman"/>
          <w:sz w:val="24"/>
          <w:szCs w:val="24"/>
        </w:rPr>
        <w:t xml:space="preserve">and statistically significant </w:t>
      </w:r>
      <w:r w:rsidR="00BC491D" w:rsidRPr="002F13A2">
        <w:rPr>
          <w:rFonts w:ascii="Times New Roman" w:hAnsi="Times New Roman" w:cs="Times New Roman"/>
          <w:sz w:val="24"/>
          <w:szCs w:val="24"/>
        </w:rPr>
        <w:t xml:space="preserve">correlation between the </w:t>
      </w:r>
      <w:r w:rsidR="00AC7D1D" w:rsidRPr="002F13A2">
        <w:rPr>
          <w:rFonts w:ascii="Times New Roman" w:hAnsi="Times New Roman" w:cs="Times New Roman"/>
          <w:sz w:val="24"/>
          <w:szCs w:val="24"/>
        </w:rPr>
        <w:t>increase in RMG exports over the years and</w:t>
      </w:r>
      <w:r w:rsidR="004B44B1" w:rsidRPr="002F13A2">
        <w:rPr>
          <w:rFonts w:ascii="Times New Roman" w:hAnsi="Times New Roman" w:cs="Times New Roman"/>
          <w:sz w:val="24"/>
          <w:szCs w:val="24"/>
        </w:rPr>
        <w:t xml:space="preserve"> a significant majority of</w:t>
      </w:r>
      <w:r w:rsidR="00AC7D1D" w:rsidRPr="002F13A2">
        <w:rPr>
          <w:rFonts w:ascii="Times New Roman" w:hAnsi="Times New Roman" w:cs="Times New Roman"/>
          <w:sz w:val="24"/>
          <w:szCs w:val="24"/>
        </w:rPr>
        <w:t xml:space="preserve"> the environmental indicators chosen to represent </w:t>
      </w:r>
      <w:r w:rsidR="00DF3FCA" w:rsidRPr="002F13A2">
        <w:rPr>
          <w:rFonts w:ascii="Times New Roman" w:hAnsi="Times New Roman" w:cs="Times New Roman"/>
          <w:sz w:val="24"/>
          <w:szCs w:val="24"/>
        </w:rPr>
        <w:t xml:space="preserve">the ecological and environmental impact of the garments industry in Bangladesh. </w:t>
      </w:r>
      <w:r w:rsidR="004B44B1" w:rsidRPr="002F13A2">
        <w:rPr>
          <w:rFonts w:ascii="Times New Roman" w:hAnsi="Times New Roman" w:cs="Times New Roman"/>
          <w:sz w:val="24"/>
          <w:szCs w:val="24"/>
        </w:rPr>
        <w:t xml:space="preserve">Only </w:t>
      </w:r>
      <w:r w:rsidR="00E82040" w:rsidRPr="002F13A2">
        <w:rPr>
          <w:rFonts w:ascii="Times New Roman" w:hAnsi="Times New Roman" w:cs="Times New Roman"/>
          <w:sz w:val="24"/>
          <w:szCs w:val="24"/>
        </w:rPr>
        <w:t>the CO</w:t>
      </w:r>
      <w:r w:rsidR="00E82040" w:rsidRPr="002F13A2">
        <w:rPr>
          <w:rFonts w:ascii="Times New Roman" w:hAnsi="Times New Roman" w:cs="Times New Roman"/>
          <w:sz w:val="24"/>
          <w:szCs w:val="24"/>
          <w:vertAlign w:val="subscript"/>
        </w:rPr>
        <w:t>2</w:t>
      </w:r>
      <w:r w:rsidR="00E82040" w:rsidRPr="002F13A2">
        <w:rPr>
          <w:rFonts w:ascii="Times New Roman" w:hAnsi="Times New Roman" w:cs="Times New Roman"/>
          <w:sz w:val="24"/>
          <w:szCs w:val="24"/>
        </w:rPr>
        <w:t xml:space="preserve"> emissions from the manufacturing and </w:t>
      </w:r>
      <w:r w:rsidR="00C533B7" w:rsidRPr="002F13A2">
        <w:rPr>
          <w:rFonts w:ascii="Times New Roman" w:hAnsi="Times New Roman" w:cs="Times New Roman"/>
          <w:sz w:val="24"/>
          <w:szCs w:val="24"/>
        </w:rPr>
        <w:t xml:space="preserve">construction industries show a really weak </w:t>
      </w:r>
      <w:r w:rsidR="0036495B" w:rsidRPr="002F13A2">
        <w:rPr>
          <w:rFonts w:ascii="Times New Roman" w:hAnsi="Times New Roman" w:cs="Times New Roman"/>
          <w:sz w:val="24"/>
          <w:szCs w:val="24"/>
        </w:rPr>
        <w:t xml:space="preserve">positive </w:t>
      </w:r>
      <w:r w:rsidR="00C533B7" w:rsidRPr="002F13A2">
        <w:rPr>
          <w:rFonts w:ascii="Times New Roman" w:hAnsi="Times New Roman" w:cs="Times New Roman"/>
          <w:sz w:val="24"/>
          <w:szCs w:val="24"/>
        </w:rPr>
        <w:t>correlation with RMG exports of Bangladesh.</w:t>
      </w:r>
      <w:r w:rsidR="00A92BEC" w:rsidRPr="002F13A2">
        <w:rPr>
          <w:rFonts w:ascii="Times New Roman" w:hAnsi="Times New Roman" w:cs="Times New Roman"/>
          <w:sz w:val="24"/>
          <w:szCs w:val="24"/>
        </w:rPr>
        <w:t xml:space="preserve"> At the same time, only </w:t>
      </w:r>
      <w:r w:rsidR="0036495B" w:rsidRPr="002F13A2">
        <w:rPr>
          <w:rFonts w:ascii="Times New Roman" w:hAnsi="Times New Roman" w:cs="Times New Roman"/>
          <w:sz w:val="24"/>
          <w:szCs w:val="24"/>
        </w:rPr>
        <w:t xml:space="preserve">the energy usage per $1000 GDP of growth </w:t>
      </w:r>
      <w:r w:rsidR="00C807AF" w:rsidRPr="002F13A2">
        <w:rPr>
          <w:rFonts w:ascii="Times New Roman" w:hAnsi="Times New Roman" w:cs="Times New Roman"/>
          <w:sz w:val="24"/>
          <w:szCs w:val="24"/>
        </w:rPr>
        <w:t>shows a really strong negative correlation with the total RMG exports of Bangladesh.</w:t>
      </w:r>
      <w:r w:rsidR="00C533B7" w:rsidRPr="002F13A2">
        <w:rPr>
          <w:rFonts w:ascii="Times New Roman" w:hAnsi="Times New Roman" w:cs="Times New Roman"/>
          <w:sz w:val="24"/>
          <w:szCs w:val="24"/>
        </w:rPr>
        <w:t xml:space="preserve"> </w:t>
      </w:r>
      <w:r w:rsidR="00D81040" w:rsidRPr="002F13A2">
        <w:rPr>
          <w:rFonts w:ascii="Times New Roman" w:hAnsi="Times New Roman" w:cs="Times New Roman"/>
          <w:sz w:val="24"/>
          <w:szCs w:val="24"/>
        </w:rPr>
        <w:t>This is also re</w:t>
      </w:r>
      <w:r w:rsidR="00C807AF" w:rsidRPr="002F13A2">
        <w:rPr>
          <w:rFonts w:ascii="Times New Roman" w:hAnsi="Times New Roman" w:cs="Times New Roman"/>
          <w:sz w:val="24"/>
          <w:szCs w:val="24"/>
        </w:rPr>
        <w:t xml:space="preserve">presented by the </w:t>
      </w:r>
      <w:r w:rsidR="00F26D65" w:rsidRPr="002F13A2">
        <w:rPr>
          <w:rFonts w:ascii="Times New Roman" w:hAnsi="Times New Roman" w:cs="Times New Roman"/>
          <w:sz w:val="24"/>
          <w:szCs w:val="24"/>
        </w:rPr>
        <w:t>p value which represents the statistical significance for the hypotheses chosen</w:t>
      </w:r>
      <w:r w:rsidR="005F46F5" w:rsidRPr="002F13A2">
        <w:rPr>
          <w:rFonts w:ascii="Times New Roman" w:hAnsi="Times New Roman" w:cs="Times New Roman"/>
          <w:sz w:val="24"/>
          <w:szCs w:val="24"/>
        </w:rPr>
        <w:t>, where we can see that most of the p values are less that 0.01</w:t>
      </w:r>
      <w:r w:rsidR="001A1ACD" w:rsidRPr="002F13A2">
        <w:rPr>
          <w:rFonts w:ascii="Times New Roman" w:hAnsi="Times New Roman" w:cs="Times New Roman"/>
          <w:sz w:val="24"/>
          <w:szCs w:val="24"/>
        </w:rPr>
        <w:t xml:space="preserve">, representing a statistically significant correlation between the pair of variables. </w:t>
      </w:r>
    </w:p>
    <w:p w14:paraId="5DABB701" w14:textId="77777777" w:rsidR="00C3000E" w:rsidRPr="00C3000E" w:rsidRDefault="00C3000E" w:rsidP="00C3000E">
      <w:pPr>
        <w:pStyle w:val="Heading1"/>
        <w:spacing w:line="360" w:lineRule="auto"/>
        <w:jc w:val="both"/>
        <w:rPr>
          <w:rFonts w:ascii="Times New Roman" w:hAnsi="Times New Roman" w:cs="Times New Roman"/>
          <w:sz w:val="32"/>
          <w:szCs w:val="32"/>
        </w:rPr>
      </w:pPr>
      <w:r w:rsidRPr="00C3000E">
        <w:rPr>
          <w:rFonts w:ascii="Times New Roman" w:hAnsi="Times New Roman" w:cs="Times New Roman"/>
          <w:sz w:val="32"/>
          <w:szCs w:val="32"/>
        </w:rPr>
        <w:lastRenderedPageBreak/>
        <w:t>References</w:t>
      </w:r>
    </w:p>
    <w:p w14:paraId="1F987D9A" w14:textId="2305ABB7" w:rsidR="00C3000E" w:rsidRPr="00C3000E" w:rsidRDefault="00C3000E" w:rsidP="00C3000E">
      <w:pPr>
        <w:pStyle w:val="ListParagraph"/>
        <w:numPr>
          <w:ilvl w:val="0"/>
          <w:numId w:val="2"/>
        </w:numPr>
        <w:spacing w:line="360" w:lineRule="auto"/>
        <w:ind w:left="360"/>
        <w:jc w:val="both"/>
        <w:rPr>
          <w:rFonts w:ascii="Times New Roman" w:hAnsi="Times New Roman" w:cs="Times New Roman"/>
          <w:sz w:val="24"/>
          <w:szCs w:val="24"/>
        </w:rPr>
      </w:pPr>
      <w:r w:rsidRPr="00C3000E">
        <w:rPr>
          <w:rFonts w:ascii="Times New Roman" w:hAnsi="Times New Roman" w:cs="Times New Roman"/>
          <w:sz w:val="24"/>
          <w:szCs w:val="24"/>
        </w:rPr>
        <w:t xml:space="preserve">Open Data Platform. (n.d.). Retrieved November 9, 2022, from Global Footprint Network website: </w:t>
      </w:r>
      <w:hyperlink r:id="rId9" w:anchor="/countryTrends?cn=16&amp;type=BCtot,EFCtot" w:history="1">
        <w:r w:rsidRPr="00835BCA">
          <w:rPr>
            <w:rStyle w:val="Hyperlink"/>
            <w:rFonts w:ascii="Times New Roman" w:hAnsi="Times New Roman" w:cs="Times New Roman"/>
            <w:sz w:val="24"/>
            <w:szCs w:val="24"/>
          </w:rPr>
          <w:t>https://data.footprintnetwork.org/#/countryTrends?cn=16&amp;type=BCtot,EFCtot</w:t>
        </w:r>
      </w:hyperlink>
      <w:r>
        <w:rPr>
          <w:rFonts w:ascii="Times New Roman" w:hAnsi="Times New Roman" w:cs="Times New Roman"/>
          <w:sz w:val="24"/>
          <w:szCs w:val="24"/>
        </w:rPr>
        <w:t xml:space="preserve"> </w:t>
      </w:r>
    </w:p>
    <w:p w14:paraId="3817476D" w14:textId="0B5E62A3" w:rsidR="00C3000E" w:rsidRPr="00C3000E" w:rsidRDefault="00C3000E" w:rsidP="00C3000E">
      <w:pPr>
        <w:pStyle w:val="ListParagraph"/>
        <w:numPr>
          <w:ilvl w:val="0"/>
          <w:numId w:val="2"/>
        </w:numPr>
        <w:spacing w:line="360" w:lineRule="auto"/>
        <w:ind w:left="360"/>
        <w:jc w:val="both"/>
        <w:rPr>
          <w:rFonts w:ascii="Times New Roman" w:hAnsi="Times New Roman" w:cs="Times New Roman"/>
          <w:sz w:val="24"/>
          <w:szCs w:val="24"/>
        </w:rPr>
      </w:pPr>
      <w:r w:rsidRPr="00C3000E">
        <w:rPr>
          <w:rFonts w:ascii="Times New Roman" w:hAnsi="Times New Roman" w:cs="Times New Roman"/>
          <w:sz w:val="24"/>
          <w:szCs w:val="24"/>
        </w:rPr>
        <w:t xml:space="preserve">Pearson Correlation - SPSS Tutorials - </w:t>
      </w:r>
      <w:proofErr w:type="spellStart"/>
      <w:r w:rsidRPr="00C3000E">
        <w:rPr>
          <w:rFonts w:ascii="Times New Roman" w:hAnsi="Times New Roman" w:cs="Times New Roman"/>
          <w:sz w:val="24"/>
          <w:szCs w:val="24"/>
        </w:rPr>
        <w:t>LibGuides</w:t>
      </w:r>
      <w:proofErr w:type="spellEnd"/>
      <w:r w:rsidRPr="00C3000E">
        <w:rPr>
          <w:rFonts w:ascii="Times New Roman" w:hAnsi="Times New Roman" w:cs="Times New Roman"/>
          <w:sz w:val="24"/>
          <w:szCs w:val="24"/>
        </w:rPr>
        <w:t xml:space="preserve"> at Kent State University. (n.d.). Retrieved November 9, 2022, from Home - </w:t>
      </w:r>
      <w:proofErr w:type="spellStart"/>
      <w:r w:rsidRPr="00C3000E">
        <w:rPr>
          <w:rFonts w:ascii="Times New Roman" w:hAnsi="Times New Roman" w:cs="Times New Roman"/>
          <w:sz w:val="24"/>
          <w:szCs w:val="24"/>
        </w:rPr>
        <w:t>LibGuides</w:t>
      </w:r>
      <w:proofErr w:type="spellEnd"/>
      <w:r w:rsidRPr="00C3000E">
        <w:rPr>
          <w:rFonts w:ascii="Times New Roman" w:hAnsi="Times New Roman" w:cs="Times New Roman"/>
          <w:sz w:val="24"/>
          <w:szCs w:val="24"/>
        </w:rPr>
        <w:t xml:space="preserve"> at Kent State University website: </w:t>
      </w:r>
      <w:hyperlink r:id="rId10" w:history="1">
        <w:r w:rsidRPr="00835BCA">
          <w:rPr>
            <w:rStyle w:val="Hyperlink"/>
            <w:rFonts w:ascii="Times New Roman" w:hAnsi="Times New Roman" w:cs="Times New Roman"/>
            <w:sz w:val="24"/>
            <w:szCs w:val="24"/>
          </w:rPr>
          <w:t>https://libguides.library.kent.edu/spss/pearsoncorr</w:t>
        </w:r>
      </w:hyperlink>
      <w:r>
        <w:rPr>
          <w:rFonts w:ascii="Times New Roman" w:hAnsi="Times New Roman" w:cs="Times New Roman"/>
          <w:sz w:val="24"/>
          <w:szCs w:val="24"/>
        </w:rPr>
        <w:t xml:space="preserve"> </w:t>
      </w:r>
    </w:p>
    <w:p w14:paraId="701BE933" w14:textId="2126860D" w:rsidR="00C3000E" w:rsidRDefault="00C3000E" w:rsidP="00C3000E">
      <w:pPr>
        <w:pStyle w:val="ListParagraph"/>
        <w:numPr>
          <w:ilvl w:val="0"/>
          <w:numId w:val="2"/>
        </w:numPr>
        <w:spacing w:line="360" w:lineRule="auto"/>
        <w:ind w:left="360"/>
        <w:jc w:val="both"/>
        <w:rPr>
          <w:rFonts w:ascii="Times New Roman" w:hAnsi="Times New Roman" w:cs="Times New Roman"/>
          <w:sz w:val="24"/>
          <w:szCs w:val="24"/>
        </w:rPr>
      </w:pPr>
      <w:r w:rsidRPr="00C3000E">
        <w:rPr>
          <w:rFonts w:ascii="Times New Roman" w:hAnsi="Times New Roman" w:cs="Times New Roman"/>
          <w:sz w:val="24"/>
          <w:szCs w:val="24"/>
        </w:rPr>
        <w:t xml:space="preserve">World Development Indicators | </w:t>
      </w:r>
      <w:proofErr w:type="spellStart"/>
      <w:r w:rsidRPr="00C3000E">
        <w:rPr>
          <w:rFonts w:ascii="Times New Roman" w:hAnsi="Times New Roman" w:cs="Times New Roman"/>
          <w:sz w:val="24"/>
          <w:szCs w:val="24"/>
        </w:rPr>
        <w:t>DataBank</w:t>
      </w:r>
      <w:proofErr w:type="spellEnd"/>
      <w:r w:rsidRPr="00C3000E">
        <w:rPr>
          <w:rFonts w:ascii="Times New Roman" w:hAnsi="Times New Roman" w:cs="Times New Roman"/>
          <w:sz w:val="24"/>
          <w:szCs w:val="24"/>
        </w:rPr>
        <w:t xml:space="preserve">. (n.d.). Retrieved November 9, 2022, from </w:t>
      </w:r>
      <w:proofErr w:type="spellStart"/>
      <w:r w:rsidRPr="00C3000E">
        <w:rPr>
          <w:rFonts w:ascii="Times New Roman" w:hAnsi="Times New Roman" w:cs="Times New Roman"/>
          <w:sz w:val="24"/>
          <w:szCs w:val="24"/>
        </w:rPr>
        <w:t>DataBank</w:t>
      </w:r>
      <w:proofErr w:type="spellEnd"/>
      <w:r w:rsidRPr="00C3000E">
        <w:rPr>
          <w:rFonts w:ascii="Times New Roman" w:hAnsi="Times New Roman" w:cs="Times New Roman"/>
          <w:sz w:val="24"/>
          <w:szCs w:val="24"/>
        </w:rPr>
        <w:t xml:space="preserve"> | The World Bank website: </w:t>
      </w:r>
      <w:hyperlink r:id="rId11" w:history="1">
        <w:r w:rsidRPr="00835BCA">
          <w:rPr>
            <w:rStyle w:val="Hyperlink"/>
            <w:rFonts w:ascii="Times New Roman" w:hAnsi="Times New Roman" w:cs="Times New Roman"/>
            <w:sz w:val="24"/>
            <w:szCs w:val="24"/>
          </w:rPr>
          <w:t>https://databank.worldbank.org/source/world-development-indicators</w:t>
        </w:r>
      </w:hyperlink>
      <w:r>
        <w:rPr>
          <w:rFonts w:ascii="Times New Roman" w:hAnsi="Times New Roman" w:cs="Times New Roman"/>
          <w:sz w:val="24"/>
          <w:szCs w:val="24"/>
        </w:rPr>
        <w:t xml:space="preserve"> </w:t>
      </w:r>
    </w:p>
    <w:p w14:paraId="67BDCECE" w14:textId="3FB0FBC1" w:rsidR="00281560" w:rsidRPr="00281560" w:rsidRDefault="00281560" w:rsidP="00281560">
      <w:pPr>
        <w:pStyle w:val="ListParagraph"/>
        <w:numPr>
          <w:ilvl w:val="0"/>
          <w:numId w:val="2"/>
        </w:numPr>
        <w:spacing w:after="0" w:line="360" w:lineRule="auto"/>
        <w:ind w:left="360"/>
        <w:jc w:val="both"/>
        <w:rPr>
          <w:rFonts w:ascii="Times New Roman" w:eastAsia="Times New Roman" w:hAnsi="Times New Roman" w:cs="Times New Roman"/>
          <w:sz w:val="24"/>
          <w:szCs w:val="24"/>
        </w:rPr>
      </w:pPr>
      <w:r w:rsidRPr="00281560">
        <w:rPr>
          <w:rFonts w:ascii="Times New Roman" w:eastAsia="Times New Roman" w:hAnsi="Times New Roman" w:cs="Times New Roman"/>
          <w:sz w:val="24"/>
          <w:szCs w:val="24"/>
        </w:rPr>
        <w:t xml:space="preserve">BGMEA | Export Performance. (n.d.). Retrieved November 9, 2022, from BGMEA | Home website: </w:t>
      </w:r>
      <w:hyperlink r:id="rId12" w:history="1">
        <w:r w:rsidRPr="00835BCA">
          <w:rPr>
            <w:rStyle w:val="Hyperlink"/>
            <w:rFonts w:ascii="Times New Roman" w:eastAsia="Times New Roman" w:hAnsi="Times New Roman" w:cs="Times New Roman"/>
            <w:sz w:val="24"/>
            <w:szCs w:val="24"/>
          </w:rPr>
          <w:t>https://www.bgmea.com.bd/page/Export_Performance</w:t>
        </w:r>
      </w:hyperlink>
      <w:r>
        <w:rPr>
          <w:rFonts w:ascii="Times New Roman" w:eastAsia="Times New Roman" w:hAnsi="Times New Roman" w:cs="Times New Roman"/>
          <w:sz w:val="24"/>
          <w:szCs w:val="24"/>
        </w:rPr>
        <w:t xml:space="preserve"> </w:t>
      </w:r>
    </w:p>
    <w:p w14:paraId="0C02A08D" w14:textId="6494136A" w:rsidR="00281560" w:rsidRPr="00281560" w:rsidRDefault="00281560" w:rsidP="00281560">
      <w:pPr>
        <w:pStyle w:val="ListParagraph"/>
        <w:numPr>
          <w:ilvl w:val="0"/>
          <w:numId w:val="2"/>
        </w:numPr>
        <w:spacing w:line="360" w:lineRule="auto"/>
        <w:ind w:left="360"/>
        <w:jc w:val="both"/>
        <w:rPr>
          <w:rFonts w:ascii="Times New Roman" w:hAnsi="Times New Roman" w:cs="Times New Roman"/>
          <w:sz w:val="24"/>
          <w:szCs w:val="24"/>
        </w:rPr>
      </w:pPr>
      <w:proofErr w:type="spellStart"/>
      <w:r w:rsidRPr="00281560">
        <w:rPr>
          <w:rFonts w:ascii="Times New Roman" w:hAnsi="Times New Roman" w:cs="Times New Roman"/>
          <w:sz w:val="24"/>
          <w:szCs w:val="24"/>
        </w:rPr>
        <w:t>Khuky</w:t>
      </w:r>
      <w:proofErr w:type="spellEnd"/>
      <w:r w:rsidRPr="00281560">
        <w:rPr>
          <w:rFonts w:ascii="Times New Roman" w:hAnsi="Times New Roman" w:cs="Times New Roman"/>
          <w:sz w:val="24"/>
          <w:szCs w:val="24"/>
        </w:rPr>
        <w:t xml:space="preserve">, M. A., Hook, L. S., Chin, L., &amp; Bin </w:t>
      </w:r>
      <w:proofErr w:type="spellStart"/>
      <w:r w:rsidRPr="00281560">
        <w:rPr>
          <w:rFonts w:ascii="Times New Roman" w:hAnsi="Times New Roman" w:cs="Times New Roman"/>
          <w:sz w:val="24"/>
          <w:szCs w:val="24"/>
        </w:rPr>
        <w:t>Saari</w:t>
      </w:r>
      <w:proofErr w:type="spellEnd"/>
      <w:r w:rsidRPr="00281560">
        <w:rPr>
          <w:rFonts w:ascii="Times New Roman" w:hAnsi="Times New Roman" w:cs="Times New Roman"/>
          <w:sz w:val="24"/>
          <w:szCs w:val="24"/>
        </w:rPr>
        <w:t xml:space="preserve">, M. Y. (2022). The Impact of Textile and Clothing Export on Environmental Quality in Bangladesh: An ARDL Bound Test Approach. </w:t>
      </w:r>
      <w:r w:rsidRPr="00281560">
        <w:rPr>
          <w:rFonts w:ascii="Times New Roman" w:hAnsi="Times New Roman" w:cs="Times New Roman"/>
          <w:i/>
          <w:iCs/>
          <w:sz w:val="24"/>
          <w:szCs w:val="24"/>
        </w:rPr>
        <w:t>Nature Environment and Pollution Technology</w:t>
      </w:r>
      <w:r w:rsidRPr="00281560">
        <w:rPr>
          <w:rFonts w:ascii="Times New Roman" w:hAnsi="Times New Roman" w:cs="Times New Roman"/>
          <w:sz w:val="24"/>
          <w:szCs w:val="24"/>
        </w:rPr>
        <w:t xml:space="preserve">, (3), 1421–1430. </w:t>
      </w:r>
      <w:hyperlink r:id="rId13" w:history="1">
        <w:r w:rsidRPr="00281560">
          <w:rPr>
            <w:rStyle w:val="Hyperlink"/>
            <w:rFonts w:ascii="Times New Roman" w:hAnsi="Times New Roman" w:cs="Times New Roman"/>
            <w:sz w:val="24"/>
            <w:szCs w:val="24"/>
          </w:rPr>
          <w:t>https://doi.org/10.46488/nept.2022.v21i03.051</w:t>
        </w:r>
      </w:hyperlink>
      <w:r>
        <w:rPr>
          <w:rFonts w:ascii="Times New Roman" w:hAnsi="Times New Roman" w:cs="Times New Roman"/>
          <w:sz w:val="24"/>
          <w:szCs w:val="24"/>
        </w:rPr>
        <w:t xml:space="preserve"> </w:t>
      </w:r>
    </w:p>
    <w:p w14:paraId="5DF16535" w14:textId="41B78A9E" w:rsidR="00281560" w:rsidRPr="00EA1EC2" w:rsidRDefault="00281560" w:rsidP="00EA1EC2">
      <w:pPr>
        <w:pStyle w:val="ListParagraph"/>
        <w:numPr>
          <w:ilvl w:val="0"/>
          <w:numId w:val="2"/>
        </w:numPr>
        <w:spacing w:line="360" w:lineRule="auto"/>
        <w:ind w:left="360"/>
        <w:jc w:val="both"/>
        <w:rPr>
          <w:rFonts w:ascii="Times New Roman" w:hAnsi="Times New Roman" w:cs="Times New Roman"/>
          <w:sz w:val="24"/>
          <w:szCs w:val="24"/>
        </w:rPr>
      </w:pPr>
      <w:r w:rsidRPr="00281560">
        <w:rPr>
          <w:rFonts w:ascii="Times New Roman" w:hAnsi="Times New Roman" w:cs="Times New Roman"/>
          <w:sz w:val="24"/>
          <w:szCs w:val="24"/>
        </w:rPr>
        <w:t xml:space="preserve">Mamun, A. A., </w:t>
      </w:r>
      <w:proofErr w:type="spellStart"/>
      <w:r w:rsidRPr="00281560">
        <w:rPr>
          <w:rFonts w:ascii="Times New Roman" w:hAnsi="Times New Roman" w:cs="Times New Roman"/>
          <w:sz w:val="24"/>
          <w:szCs w:val="24"/>
        </w:rPr>
        <w:t>Bormon</w:t>
      </w:r>
      <w:proofErr w:type="spellEnd"/>
      <w:r w:rsidRPr="00281560">
        <w:rPr>
          <w:rFonts w:ascii="Times New Roman" w:hAnsi="Times New Roman" w:cs="Times New Roman"/>
          <w:sz w:val="24"/>
          <w:szCs w:val="24"/>
        </w:rPr>
        <w:t xml:space="preserve">, K. K., </w:t>
      </w:r>
      <w:proofErr w:type="spellStart"/>
      <w:r w:rsidRPr="00281560">
        <w:rPr>
          <w:rFonts w:ascii="Times New Roman" w:hAnsi="Times New Roman" w:cs="Times New Roman"/>
          <w:sz w:val="24"/>
          <w:szCs w:val="24"/>
        </w:rPr>
        <w:t>Rasu</w:t>
      </w:r>
      <w:proofErr w:type="spellEnd"/>
      <w:r w:rsidRPr="00281560">
        <w:rPr>
          <w:rFonts w:ascii="Times New Roman" w:hAnsi="Times New Roman" w:cs="Times New Roman"/>
          <w:sz w:val="24"/>
          <w:szCs w:val="24"/>
        </w:rPr>
        <w:t xml:space="preserve">, M. N. S., </w:t>
      </w:r>
      <w:proofErr w:type="spellStart"/>
      <w:r w:rsidRPr="00281560">
        <w:rPr>
          <w:rFonts w:ascii="Times New Roman" w:hAnsi="Times New Roman" w:cs="Times New Roman"/>
          <w:sz w:val="24"/>
          <w:szCs w:val="24"/>
        </w:rPr>
        <w:t>Talukder</w:t>
      </w:r>
      <w:proofErr w:type="spellEnd"/>
      <w:r w:rsidRPr="00281560">
        <w:rPr>
          <w:rFonts w:ascii="Times New Roman" w:hAnsi="Times New Roman" w:cs="Times New Roman"/>
          <w:sz w:val="24"/>
          <w:szCs w:val="24"/>
        </w:rPr>
        <w:t xml:space="preserve">, A., Freeman, C., Burch, R., &amp; </w:t>
      </w:r>
      <w:proofErr w:type="spellStart"/>
      <w:r w:rsidRPr="00281560">
        <w:rPr>
          <w:rFonts w:ascii="Times New Roman" w:hAnsi="Times New Roman" w:cs="Times New Roman"/>
          <w:sz w:val="24"/>
          <w:szCs w:val="24"/>
        </w:rPr>
        <w:t>Chander</w:t>
      </w:r>
      <w:proofErr w:type="spellEnd"/>
      <w:r w:rsidRPr="00281560">
        <w:rPr>
          <w:rFonts w:ascii="Times New Roman" w:hAnsi="Times New Roman" w:cs="Times New Roman"/>
          <w:sz w:val="24"/>
          <w:szCs w:val="24"/>
        </w:rPr>
        <w:t xml:space="preserve">, H. (2022). An Assessment of Energy and Groundwater Consumption of Textile Dyeing Mills in Bangladesh and Minimization of Environmental Impacts via Long-Term Key Performance Indicators (KPI) Baseline. </w:t>
      </w:r>
      <w:r w:rsidRPr="00281560">
        <w:rPr>
          <w:rFonts w:ascii="Times New Roman" w:hAnsi="Times New Roman" w:cs="Times New Roman"/>
          <w:i/>
          <w:iCs/>
          <w:sz w:val="24"/>
          <w:szCs w:val="24"/>
        </w:rPr>
        <w:t>Textiles</w:t>
      </w:r>
      <w:r w:rsidRPr="00281560">
        <w:rPr>
          <w:rFonts w:ascii="Times New Roman" w:hAnsi="Times New Roman" w:cs="Times New Roman"/>
          <w:sz w:val="24"/>
          <w:szCs w:val="24"/>
        </w:rPr>
        <w:t xml:space="preserve">, (4), 511–523. </w:t>
      </w:r>
      <w:hyperlink r:id="rId14" w:history="1">
        <w:r w:rsidRPr="00281560">
          <w:rPr>
            <w:rStyle w:val="Hyperlink"/>
            <w:rFonts w:ascii="Times New Roman" w:hAnsi="Times New Roman" w:cs="Times New Roman"/>
            <w:sz w:val="24"/>
            <w:szCs w:val="24"/>
          </w:rPr>
          <w:t>https://doi.org/10.3390/textiles2040029</w:t>
        </w:r>
      </w:hyperlink>
      <w:r>
        <w:rPr>
          <w:rFonts w:ascii="Times New Roman" w:hAnsi="Times New Roman" w:cs="Times New Roman"/>
          <w:sz w:val="24"/>
          <w:szCs w:val="24"/>
        </w:rPr>
        <w:t xml:space="preserve"> </w:t>
      </w:r>
    </w:p>
    <w:p w14:paraId="2810CAF6" w14:textId="401A0018" w:rsidR="00C3000E" w:rsidRPr="002F13A2" w:rsidRDefault="00C3000E" w:rsidP="00D83DB0">
      <w:pPr>
        <w:spacing w:before="240" w:line="360" w:lineRule="auto"/>
        <w:jc w:val="both"/>
        <w:rPr>
          <w:rFonts w:ascii="Times New Roman" w:hAnsi="Times New Roman" w:cs="Times New Roman"/>
          <w:sz w:val="24"/>
          <w:szCs w:val="24"/>
        </w:rPr>
      </w:pPr>
    </w:p>
    <w:sectPr w:rsidR="00C3000E" w:rsidRPr="002F13A2" w:rsidSect="00C533B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8F20D" w14:textId="77777777" w:rsidR="006B0C58" w:rsidRDefault="006B0C58">
      <w:pPr>
        <w:spacing w:after="0" w:line="240" w:lineRule="auto"/>
      </w:pPr>
      <w:r>
        <w:separator/>
      </w:r>
    </w:p>
  </w:endnote>
  <w:endnote w:type="continuationSeparator" w:id="0">
    <w:p w14:paraId="3CB27BB5" w14:textId="77777777" w:rsidR="006B0C58" w:rsidRDefault="006B0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35E07" w14:textId="77777777" w:rsidR="006B0C58" w:rsidRDefault="006B0C58">
      <w:pPr>
        <w:spacing w:after="0" w:line="240" w:lineRule="auto"/>
      </w:pPr>
      <w:r>
        <w:separator/>
      </w:r>
    </w:p>
  </w:footnote>
  <w:footnote w:type="continuationSeparator" w:id="0">
    <w:p w14:paraId="01E2ADA1" w14:textId="77777777" w:rsidR="006B0C58" w:rsidRDefault="006B0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DA8"/>
    <w:multiLevelType w:val="hybridMultilevel"/>
    <w:tmpl w:val="FB6A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04D4D"/>
    <w:multiLevelType w:val="hybridMultilevel"/>
    <w:tmpl w:val="8402C00C"/>
    <w:lvl w:ilvl="0" w:tplc="27F2C5C0">
      <w:start w:val="1"/>
      <w:numFmt w:val="decimal"/>
      <w:lvlText w:val="%1."/>
      <w:lvlJc w:val="left"/>
      <w:pPr>
        <w:ind w:left="720" w:hanging="360"/>
      </w:pPr>
      <w:rPr>
        <w:rFonts w:hint="default"/>
      </w:rPr>
    </w:lvl>
    <w:lvl w:ilvl="1" w:tplc="FBE0488E">
      <w:start w:val="1"/>
      <w:numFmt w:val="lowerLetter"/>
      <w:lvlText w:val="%2."/>
      <w:lvlJc w:val="left"/>
      <w:pPr>
        <w:ind w:left="1440" w:hanging="360"/>
      </w:pPr>
    </w:lvl>
    <w:lvl w:ilvl="2" w:tplc="D750D96A">
      <w:start w:val="1"/>
      <w:numFmt w:val="lowerRoman"/>
      <w:lvlText w:val="%3."/>
      <w:lvlJc w:val="right"/>
      <w:pPr>
        <w:ind w:left="2160" w:hanging="180"/>
      </w:pPr>
    </w:lvl>
    <w:lvl w:ilvl="3" w:tplc="5D7600F4">
      <w:start w:val="1"/>
      <w:numFmt w:val="decimal"/>
      <w:lvlText w:val="%4."/>
      <w:lvlJc w:val="left"/>
      <w:pPr>
        <w:ind w:left="2880" w:hanging="360"/>
      </w:pPr>
    </w:lvl>
    <w:lvl w:ilvl="4" w:tplc="FA3EC07A">
      <w:start w:val="1"/>
      <w:numFmt w:val="lowerLetter"/>
      <w:lvlText w:val="%5."/>
      <w:lvlJc w:val="left"/>
      <w:pPr>
        <w:ind w:left="3600" w:hanging="360"/>
      </w:pPr>
    </w:lvl>
    <w:lvl w:ilvl="5" w:tplc="B1EAE7B8">
      <w:start w:val="1"/>
      <w:numFmt w:val="lowerRoman"/>
      <w:lvlText w:val="%6."/>
      <w:lvlJc w:val="right"/>
      <w:pPr>
        <w:ind w:left="4320" w:hanging="180"/>
      </w:pPr>
    </w:lvl>
    <w:lvl w:ilvl="6" w:tplc="41584C58">
      <w:start w:val="1"/>
      <w:numFmt w:val="decimal"/>
      <w:lvlText w:val="%7."/>
      <w:lvlJc w:val="left"/>
      <w:pPr>
        <w:ind w:left="5040" w:hanging="360"/>
      </w:pPr>
    </w:lvl>
    <w:lvl w:ilvl="7" w:tplc="22B84AB4">
      <w:start w:val="1"/>
      <w:numFmt w:val="lowerLetter"/>
      <w:lvlText w:val="%8."/>
      <w:lvlJc w:val="left"/>
      <w:pPr>
        <w:ind w:left="5760" w:hanging="360"/>
      </w:pPr>
    </w:lvl>
    <w:lvl w:ilvl="8" w:tplc="6A6875F6">
      <w:start w:val="1"/>
      <w:numFmt w:val="lowerRoman"/>
      <w:lvlText w:val="%9."/>
      <w:lvlJc w:val="right"/>
      <w:pPr>
        <w:ind w:left="6480" w:hanging="180"/>
      </w:pPr>
    </w:lvl>
  </w:abstractNum>
  <w:num w:numId="1" w16cid:durableId="1367019982">
    <w:abstractNumId w:val="1"/>
  </w:num>
  <w:num w:numId="2" w16cid:durableId="87669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A1C"/>
    <w:rsid w:val="00025183"/>
    <w:rsid w:val="000C117E"/>
    <w:rsid w:val="001A1ACD"/>
    <w:rsid w:val="001D0949"/>
    <w:rsid w:val="00281560"/>
    <w:rsid w:val="002F13A2"/>
    <w:rsid w:val="0036495B"/>
    <w:rsid w:val="00373C6D"/>
    <w:rsid w:val="004A1DF3"/>
    <w:rsid w:val="004B44B1"/>
    <w:rsid w:val="005A3DA7"/>
    <w:rsid w:val="005F46F5"/>
    <w:rsid w:val="006B0C58"/>
    <w:rsid w:val="00826B2D"/>
    <w:rsid w:val="0093143C"/>
    <w:rsid w:val="009836B8"/>
    <w:rsid w:val="00A92BEC"/>
    <w:rsid w:val="00AC7D1D"/>
    <w:rsid w:val="00B76FDE"/>
    <w:rsid w:val="00BC491D"/>
    <w:rsid w:val="00C3000E"/>
    <w:rsid w:val="00C533B7"/>
    <w:rsid w:val="00C807AF"/>
    <w:rsid w:val="00D81040"/>
    <w:rsid w:val="00D83DB0"/>
    <w:rsid w:val="00DF2CC5"/>
    <w:rsid w:val="00DF3FCA"/>
    <w:rsid w:val="00E82040"/>
    <w:rsid w:val="00EA1EC2"/>
    <w:rsid w:val="00F03A1C"/>
    <w:rsid w:val="00F26D65"/>
    <w:rsid w:val="00F5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ACAA"/>
  <w15:docId w15:val="{D9D9F400-7E6D-4452-8B84-5E8FC6D4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6D"/>
  </w:style>
  <w:style w:type="paragraph" w:styleId="Heading1">
    <w:name w:val="heading 1"/>
    <w:basedOn w:val="Normal"/>
    <w:next w:val="Normal"/>
    <w:link w:val="Heading1Char"/>
    <w:uiPriority w:val="9"/>
    <w:qFormat/>
    <w:rsid w:val="00373C6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373C6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373C6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373C6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373C6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373C6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373C6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373C6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373C6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3C6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373C6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373C6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373C6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373C6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373C6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373C6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373C6D"/>
    <w:rPr>
      <w:rFonts w:asciiTheme="majorHAnsi" w:eastAsiaTheme="majorEastAsia" w:hAnsiTheme="majorHAnsi" w:cstheme="majorBidi"/>
      <w:i/>
      <w:iCs/>
      <w:smallCaps/>
      <w:color w:val="595959" w:themeColor="text1" w:themeTint="A6"/>
    </w:rPr>
  </w:style>
  <w:style w:type="paragraph" w:styleId="NoSpacing">
    <w:name w:val="No Spacing"/>
    <w:uiPriority w:val="1"/>
    <w:qFormat/>
    <w:rsid w:val="00373C6D"/>
    <w:pPr>
      <w:spacing w:after="0" w:line="240" w:lineRule="auto"/>
    </w:pPr>
  </w:style>
  <w:style w:type="paragraph" w:styleId="Title">
    <w:name w:val="Title"/>
    <w:basedOn w:val="Normal"/>
    <w:next w:val="Normal"/>
    <w:link w:val="TitleChar"/>
    <w:uiPriority w:val="10"/>
    <w:qFormat/>
    <w:rsid w:val="00373C6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73C6D"/>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73C6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73C6D"/>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373C6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73C6D"/>
    <w:rPr>
      <w:i/>
      <w:iCs/>
    </w:rPr>
  </w:style>
  <w:style w:type="paragraph" w:styleId="IntenseQuote">
    <w:name w:val="Intense Quote"/>
    <w:basedOn w:val="Normal"/>
    <w:next w:val="Normal"/>
    <w:link w:val="IntenseQuoteChar"/>
    <w:uiPriority w:val="30"/>
    <w:qFormat/>
    <w:rsid w:val="00373C6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73C6D"/>
    <w:rPr>
      <w:rFonts w:asciiTheme="majorHAnsi" w:eastAsiaTheme="majorEastAsia" w:hAnsiTheme="majorHAnsi" w:cstheme="majorBidi"/>
      <w:color w:val="4472C4" w:themeColor="accent1"/>
      <w:sz w:val="28"/>
      <w:szCs w:val="28"/>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unhideWhenUsed/>
    <w:qFormat/>
    <w:rsid w:val="00373C6D"/>
    <w:pPr>
      <w:spacing w:line="240" w:lineRule="auto"/>
    </w:pPr>
    <w:rPr>
      <w:b/>
      <w:bCs/>
      <w:color w:val="404040" w:themeColor="text1" w:themeTint="BF"/>
      <w:sz w:val="20"/>
      <w:szCs w:val="20"/>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basedOn w:val="Heading1"/>
    <w:next w:val="Normal"/>
    <w:uiPriority w:val="39"/>
    <w:unhideWhenUsed/>
    <w:qFormat/>
    <w:rsid w:val="00373C6D"/>
    <w:pPr>
      <w:outlineLvl w:val="9"/>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sid w:val="00373C6D"/>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373C6D"/>
    <w:rPr>
      <w:b/>
      <w:bCs/>
    </w:rPr>
  </w:style>
  <w:style w:type="character" w:styleId="Emphasis">
    <w:name w:val="Emphasis"/>
    <w:basedOn w:val="DefaultParagraphFont"/>
    <w:uiPriority w:val="20"/>
    <w:qFormat/>
    <w:rsid w:val="00373C6D"/>
    <w:rPr>
      <w:i/>
      <w:iCs/>
    </w:rPr>
  </w:style>
  <w:style w:type="character" w:styleId="SubtleEmphasis">
    <w:name w:val="Subtle Emphasis"/>
    <w:basedOn w:val="DefaultParagraphFont"/>
    <w:uiPriority w:val="19"/>
    <w:qFormat/>
    <w:rsid w:val="00373C6D"/>
    <w:rPr>
      <w:i/>
      <w:iCs/>
      <w:color w:val="595959" w:themeColor="text1" w:themeTint="A6"/>
    </w:rPr>
  </w:style>
  <w:style w:type="character" w:styleId="IntenseEmphasis">
    <w:name w:val="Intense Emphasis"/>
    <w:basedOn w:val="DefaultParagraphFont"/>
    <w:uiPriority w:val="21"/>
    <w:qFormat/>
    <w:rsid w:val="00373C6D"/>
    <w:rPr>
      <w:b/>
      <w:bCs/>
      <w:i/>
      <w:iCs/>
    </w:rPr>
  </w:style>
  <w:style w:type="character" w:styleId="SubtleReference">
    <w:name w:val="Subtle Reference"/>
    <w:basedOn w:val="DefaultParagraphFont"/>
    <w:uiPriority w:val="31"/>
    <w:qFormat/>
    <w:rsid w:val="00373C6D"/>
    <w:rPr>
      <w:smallCaps/>
      <w:color w:val="404040" w:themeColor="text1" w:themeTint="BF"/>
    </w:rPr>
  </w:style>
  <w:style w:type="character" w:styleId="IntenseReference">
    <w:name w:val="Intense Reference"/>
    <w:basedOn w:val="DefaultParagraphFont"/>
    <w:uiPriority w:val="32"/>
    <w:qFormat/>
    <w:rsid w:val="00373C6D"/>
    <w:rPr>
      <w:b/>
      <w:bCs/>
      <w:smallCaps/>
      <w:u w:val="single"/>
    </w:rPr>
  </w:style>
  <w:style w:type="character" w:styleId="BookTitle">
    <w:name w:val="Book Title"/>
    <w:basedOn w:val="DefaultParagraphFont"/>
    <w:uiPriority w:val="33"/>
    <w:qFormat/>
    <w:rsid w:val="00373C6D"/>
    <w:rPr>
      <w:b/>
      <w:bCs/>
      <w:smallCaps/>
    </w:rPr>
  </w:style>
  <w:style w:type="character" w:styleId="UnresolvedMention">
    <w:name w:val="Unresolved Mention"/>
    <w:basedOn w:val="DefaultParagraphFont"/>
    <w:uiPriority w:val="99"/>
    <w:semiHidden/>
    <w:unhideWhenUsed/>
    <w:rsid w:val="00C30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0341">
      <w:bodyDiv w:val="1"/>
      <w:marLeft w:val="0"/>
      <w:marRight w:val="0"/>
      <w:marTop w:val="0"/>
      <w:marBottom w:val="0"/>
      <w:divBdr>
        <w:top w:val="none" w:sz="0" w:space="0" w:color="auto"/>
        <w:left w:val="none" w:sz="0" w:space="0" w:color="auto"/>
        <w:bottom w:val="none" w:sz="0" w:space="0" w:color="auto"/>
        <w:right w:val="none" w:sz="0" w:space="0" w:color="auto"/>
      </w:divBdr>
      <w:divsChild>
        <w:div w:id="218980976">
          <w:marLeft w:val="0"/>
          <w:marRight w:val="0"/>
          <w:marTop w:val="0"/>
          <w:marBottom w:val="0"/>
          <w:divBdr>
            <w:top w:val="none" w:sz="0" w:space="0" w:color="auto"/>
            <w:left w:val="none" w:sz="0" w:space="0" w:color="auto"/>
            <w:bottom w:val="none" w:sz="0" w:space="0" w:color="auto"/>
            <w:right w:val="none" w:sz="0" w:space="0" w:color="auto"/>
          </w:divBdr>
        </w:div>
      </w:divsChild>
    </w:div>
    <w:div w:id="943418276">
      <w:bodyDiv w:val="1"/>
      <w:marLeft w:val="0"/>
      <w:marRight w:val="0"/>
      <w:marTop w:val="0"/>
      <w:marBottom w:val="0"/>
      <w:divBdr>
        <w:top w:val="none" w:sz="0" w:space="0" w:color="auto"/>
        <w:left w:val="none" w:sz="0" w:space="0" w:color="auto"/>
        <w:bottom w:val="none" w:sz="0" w:space="0" w:color="auto"/>
        <w:right w:val="none" w:sz="0" w:space="0" w:color="auto"/>
      </w:divBdr>
      <w:divsChild>
        <w:div w:id="649477451">
          <w:marLeft w:val="0"/>
          <w:marRight w:val="0"/>
          <w:marTop w:val="0"/>
          <w:marBottom w:val="0"/>
          <w:divBdr>
            <w:top w:val="none" w:sz="0" w:space="0" w:color="auto"/>
            <w:left w:val="none" w:sz="0" w:space="0" w:color="auto"/>
            <w:bottom w:val="none" w:sz="0" w:space="0" w:color="auto"/>
            <w:right w:val="none" w:sz="0" w:space="0" w:color="auto"/>
          </w:divBdr>
        </w:div>
        <w:div w:id="303701743">
          <w:marLeft w:val="0"/>
          <w:marRight w:val="0"/>
          <w:marTop w:val="0"/>
          <w:marBottom w:val="0"/>
          <w:divBdr>
            <w:top w:val="none" w:sz="0" w:space="0" w:color="auto"/>
            <w:left w:val="none" w:sz="0" w:space="0" w:color="auto"/>
            <w:bottom w:val="none" w:sz="0" w:space="0" w:color="auto"/>
            <w:right w:val="none" w:sz="0" w:space="0" w:color="auto"/>
          </w:divBdr>
        </w:div>
        <w:div w:id="1027097993">
          <w:marLeft w:val="0"/>
          <w:marRight w:val="0"/>
          <w:marTop w:val="0"/>
          <w:marBottom w:val="0"/>
          <w:divBdr>
            <w:top w:val="none" w:sz="0" w:space="0" w:color="auto"/>
            <w:left w:val="none" w:sz="0" w:space="0" w:color="auto"/>
            <w:bottom w:val="none" w:sz="0" w:space="0" w:color="auto"/>
            <w:right w:val="none" w:sz="0" w:space="0" w:color="auto"/>
          </w:divBdr>
        </w:div>
      </w:divsChild>
    </w:div>
    <w:div w:id="955939693">
      <w:bodyDiv w:val="1"/>
      <w:marLeft w:val="0"/>
      <w:marRight w:val="0"/>
      <w:marTop w:val="0"/>
      <w:marBottom w:val="0"/>
      <w:divBdr>
        <w:top w:val="none" w:sz="0" w:space="0" w:color="auto"/>
        <w:left w:val="none" w:sz="0" w:space="0" w:color="auto"/>
        <w:bottom w:val="none" w:sz="0" w:space="0" w:color="auto"/>
        <w:right w:val="none" w:sz="0" w:space="0" w:color="auto"/>
      </w:divBdr>
      <w:divsChild>
        <w:div w:id="1343164549">
          <w:marLeft w:val="0"/>
          <w:marRight w:val="0"/>
          <w:marTop w:val="0"/>
          <w:marBottom w:val="0"/>
          <w:divBdr>
            <w:top w:val="none" w:sz="0" w:space="0" w:color="auto"/>
            <w:left w:val="none" w:sz="0" w:space="0" w:color="auto"/>
            <w:bottom w:val="none" w:sz="0" w:space="0" w:color="auto"/>
            <w:right w:val="none" w:sz="0" w:space="0" w:color="auto"/>
          </w:divBdr>
        </w:div>
      </w:divsChild>
    </w:div>
    <w:div w:id="981613367">
      <w:bodyDiv w:val="1"/>
      <w:marLeft w:val="0"/>
      <w:marRight w:val="0"/>
      <w:marTop w:val="0"/>
      <w:marBottom w:val="0"/>
      <w:divBdr>
        <w:top w:val="none" w:sz="0" w:space="0" w:color="auto"/>
        <w:left w:val="none" w:sz="0" w:space="0" w:color="auto"/>
        <w:bottom w:val="none" w:sz="0" w:space="0" w:color="auto"/>
        <w:right w:val="none" w:sz="0" w:space="0" w:color="auto"/>
      </w:divBdr>
      <w:divsChild>
        <w:div w:id="984624449">
          <w:marLeft w:val="0"/>
          <w:marRight w:val="0"/>
          <w:marTop w:val="0"/>
          <w:marBottom w:val="0"/>
          <w:divBdr>
            <w:top w:val="none" w:sz="0" w:space="0" w:color="auto"/>
            <w:left w:val="none" w:sz="0" w:space="0" w:color="auto"/>
            <w:bottom w:val="none" w:sz="0" w:space="0" w:color="auto"/>
            <w:right w:val="none" w:sz="0" w:space="0" w:color="auto"/>
          </w:divBdr>
        </w:div>
      </w:divsChild>
    </w:div>
    <w:div w:id="1878160056">
      <w:bodyDiv w:val="1"/>
      <w:marLeft w:val="0"/>
      <w:marRight w:val="0"/>
      <w:marTop w:val="0"/>
      <w:marBottom w:val="0"/>
      <w:divBdr>
        <w:top w:val="none" w:sz="0" w:space="0" w:color="auto"/>
        <w:left w:val="none" w:sz="0" w:space="0" w:color="auto"/>
        <w:bottom w:val="none" w:sz="0" w:space="0" w:color="auto"/>
        <w:right w:val="none" w:sz="0" w:space="0" w:color="auto"/>
      </w:divBdr>
      <w:divsChild>
        <w:div w:id="1818112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46488/NEPT.2022.v21i03.051" TargetMode="External"/><Relationship Id="rId13" Type="http://schemas.openxmlformats.org/officeDocument/2006/relationships/hyperlink" Target="https://doi.org/10.46488/nept.2022.v21i03.051" TargetMode="External"/><Relationship Id="rId3" Type="http://schemas.openxmlformats.org/officeDocument/2006/relationships/settings" Target="settings.xml"/><Relationship Id="rId7" Type="http://schemas.openxmlformats.org/officeDocument/2006/relationships/hyperlink" Target="https://www.mdpi.com/2673-7248/2/4/29/htm" TargetMode="External"/><Relationship Id="rId12" Type="http://schemas.openxmlformats.org/officeDocument/2006/relationships/hyperlink" Target="https://www.bgmea.com.bd/page/Export_Performa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ank.worldbank.org/source/world-development-indicator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bguides.library.kent.edu/spss/pearsoncorr" TargetMode="External"/><Relationship Id="rId4" Type="http://schemas.openxmlformats.org/officeDocument/2006/relationships/webSettings" Target="webSettings.xml"/><Relationship Id="rId9" Type="http://schemas.openxmlformats.org/officeDocument/2006/relationships/hyperlink" Target="https://data.footprintnetwork.org/" TargetMode="External"/><Relationship Id="rId14" Type="http://schemas.openxmlformats.org/officeDocument/2006/relationships/hyperlink" Target="https://doi.org/10.3390/textiles2040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Vaskor Roy</cp:lastModifiedBy>
  <cp:revision>4</cp:revision>
  <dcterms:created xsi:type="dcterms:W3CDTF">2022-11-10T15:27:00Z</dcterms:created>
  <dcterms:modified xsi:type="dcterms:W3CDTF">2022-11-20T11:30:00Z</dcterms:modified>
</cp:coreProperties>
</file>