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theme/themeOverride1.xml" ContentType="application/vnd.openxmlformats-officedocument.themeOverrid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theme/themeOverride2.xml" ContentType="application/vnd.openxmlformats-officedocument.themeOverrid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theme/themeOverride3.xml" ContentType="application/vnd.openxmlformats-officedocument.themeOverrid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4C12" w:rsidRPr="00A556EA" w:rsidRDefault="001F4C12" w:rsidP="001F4C12">
      <w:pPr>
        <w:jc w:val="center"/>
        <w:rPr>
          <w:rFonts w:cs="Times New Roman"/>
          <w:b/>
          <w:sz w:val="32"/>
          <w:szCs w:val="32"/>
          <w:lang w:val="ru-RU"/>
        </w:rPr>
      </w:pPr>
      <w:r w:rsidRPr="00A556EA">
        <w:rPr>
          <w:rFonts w:cs="Times New Roman"/>
          <w:b/>
          <w:sz w:val="32"/>
          <w:szCs w:val="32"/>
          <w:lang w:val="ru-RU"/>
        </w:rPr>
        <w:t>МИНИСТЕРСТВО СЕЛЬСКОГО ХОЗЯЙСТВА И ПРОДОВОЛЬСТВИЯ РЕСПУБЛИКИ БЕЛАРУСЬ</w:t>
      </w:r>
    </w:p>
    <w:p w:rsidR="001F4C12" w:rsidRPr="00A556EA" w:rsidRDefault="001F4C12" w:rsidP="001F4C12">
      <w:pPr>
        <w:jc w:val="center"/>
        <w:rPr>
          <w:rFonts w:cs="Times New Roman"/>
          <w:b/>
          <w:szCs w:val="28"/>
          <w:lang w:val="ru-RU"/>
        </w:rPr>
      </w:pPr>
      <w:r w:rsidRPr="00A556EA">
        <w:rPr>
          <w:rFonts w:cs="Times New Roman"/>
          <w:b/>
          <w:szCs w:val="28"/>
          <w:lang w:val="ru-RU"/>
        </w:rPr>
        <w:t>Учреждение образования</w:t>
      </w:r>
    </w:p>
    <w:p w:rsidR="001F4C12" w:rsidRPr="00A556EA" w:rsidRDefault="001F4C12" w:rsidP="001F4C12">
      <w:pPr>
        <w:jc w:val="center"/>
        <w:rPr>
          <w:rFonts w:cs="Times New Roman"/>
          <w:b/>
          <w:szCs w:val="28"/>
          <w:lang w:val="ru-RU"/>
        </w:rPr>
      </w:pPr>
      <w:r w:rsidRPr="00A556EA">
        <w:rPr>
          <w:rFonts w:cs="Times New Roman"/>
          <w:b/>
          <w:szCs w:val="28"/>
          <w:lang w:val="ru-RU"/>
        </w:rPr>
        <w:t>«ВИТЕБСКАЯ ОРДЕНА «ЗНАК ПОЧЕТА» ГОСУДАРСТВЕННАЯ АКАДЕМИЯ ВЕТЕРИНАРНОЙ МЕДИЦИНЫ»</w:t>
      </w:r>
    </w:p>
    <w:p w:rsidR="001F4C12" w:rsidRPr="00A556EA" w:rsidRDefault="00FE0C68" w:rsidP="001F4C12">
      <w:pPr>
        <w:jc w:val="center"/>
        <w:rPr>
          <w:rFonts w:cs="Times New Roman"/>
          <w:b/>
          <w:szCs w:val="28"/>
          <w:lang w:val="ru-RU"/>
        </w:rPr>
      </w:pPr>
      <w:r w:rsidRPr="00A556EA">
        <w:rPr>
          <w:rFonts w:cs="Times New Roman"/>
          <w:b/>
          <w:szCs w:val="28"/>
          <w:lang w:val="ru-RU"/>
        </w:rPr>
        <w:t>Кафедра</w:t>
      </w:r>
    </w:p>
    <w:p w:rsidR="00FE0C68" w:rsidRPr="00A556EA" w:rsidRDefault="00FE0C68" w:rsidP="001F4C12">
      <w:pPr>
        <w:jc w:val="center"/>
        <w:rPr>
          <w:rFonts w:cs="Times New Roman"/>
          <w:b/>
          <w:szCs w:val="28"/>
          <w:lang w:val="ru-RU"/>
        </w:rPr>
      </w:pPr>
      <w:r w:rsidRPr="00A556EA">
        <w:rPr>
          <w:rFonts w:cs="Times New Roman"/>
          <w:b/>
          <w:szCs w:val="28"/>
          <w:lang w:val="ru-RU"/>
        </w:rPr>
        <w:t>Социально-гуманитарных наук</w:t>
      </w:r>
    </w:p>
    <w:p w:rsidR="001F4C12" w:rsidRPr="00A556EA" w:rsidRDefault="001F4C12" w:rsidP="001F4C12">
      <w:pPr>
        <w:rPr>
          <w:rFonts w:cs="Times New Roman"/>
          <w:b/>
          <w:lang w:val="ru-RU"/>
        </w:rPr>
      </w:pPr>
    </w:p>
    <w:p w:rsidR="001F4C12" w:rsidRPr="00A556EA" w:rsidRDefault="001F4C12" w:rsidP="001F4C12">
      <w:pPr>
        <w:jc w:val="center"/>
        <w:rPr>
          <w:rFonts w:cs="Times New Roman"/>
          <w:b/>
          <w:sz w:val="40"/>
          <w:szCs w:val="40"/>
          <w:lang w:val="ru-RU"/>
        </w:rPr>
      </w:pPr>
      <w:r w:rsidRPr="00A556EA">
        <w:rPr>
          <w:rFonts w:cs="Times New Roman"/>
          <w:b/>
          <w:sz w:val="40"/>
          <w:szCs w:val="40"/>
          <w:lang w:val="ru-RU"/>
        </w:rPr>
        <w:t>РЕФЕРАТ</w:t>
      </w:r>
    </w:p>
    <w:p w:rsidR="001F4C12" w:rsidRPr="00A556EA" w:rsidRDefault="001F4C12" w:rsidP="001F4C12">
      <w:pPr>
        <w:jc w:val="center"/>
        <w:rPr>
          <w:rFonts w:cs="Times New Roman"/>
          <w:b/>
          <w:lang w:val="ru-RU"/>
        </w:rPr>
      </w:pPr>
      <w:r w:rsidRPr="00A556EA">
        <w:rPr>
          <w:rFonts w:cs="Times New Roman"/>
          <w:b/>
          <w:sz w:val="32"/>
          <w:szCs w:val="32"/>
          <w:lang w:val="ru-RU"/>
        </w:rPr>
        <w:t>на тему</w:t>
      </w:r>
      <w:r w:rsidRPr="00A556EA">
        <w:rPr>
          <w:rFonts w:cs="Times New Roman"/>
          <w:b/>
          <w:lang w:val="ru-RU"/>
        </w:rPr>
        <w:t>:</w:t>
      </w:r>
    </w:p>
    <w:p w:rsidR="001F4C12" w:rsidRPr="00A556EA" w:rsidRDefault="00FE0C68" w:rsidP="001F4C12">
      <w:pPr>
        <w:jc w:val="center"/>
        <w:rPr>
          <w:rFonts w:cs="Times New Roman"/>
          <w:b/>
          <w:szCs w:val="28"/>
          <w:lang w:val="ru-RU"/>
        </w:rPr>
      </w:pPr>
      <w:r w:rsidRPr="00A556EA">
        <w:rPr>
          <w:rFonts w:cs="Times New Roman"/>
          <w:b/>
          <w:szCs w:val="28"/>
          <w:lang w:val="ru-RU"/>
        </w:rPr>
        <w:t>Экономическая модель Индии</w:t>
      </w:r>
    </w:p>
    <w:p w:rsidR="001F4C12" w:rsidRPr="00A556EA" w:rsidRDefault="001F4C12" w:rsidP="001F4C12">
      <w:pPr>
        <w:jc w:val="center"/>
        <w:rPr>
          <w:rFonts w:cs="Times New Roman"/>
          <w:szCs w:val="28"/>
          <w:lang w:val="ru-RU"/>
        </w:rPr>
      </w:pPr>
    </w:p>
    <w:p w:rsidR="001F4C12" w:rsidRPr="00A556EA" w:rsidRDefault="001F4C12" w:rsidP="001F4C12">
      <w:pPr>
        <w:rPr>
          <w:rFonts w:cs="Times New Roman"/>
          <w:szCs w:val="28"/>
          <w:lang w:val="ru-RU"/>
        </w:rPr>
      </w:pPr>
    </w:p>
    <w:p w:rsidR="001F4C12" w:rsidRPr="00A556EA" w:rsidRDefault="001F4C12" w:rsidP="001F4C12">
      <w:pPr>
        <w:tabs>
          <w:tab w:val="right" w:pos="6663"/>
        </w:tabs>
        <w:spacing w:line="240" w:lineRule="auto"/>
        <w:ind w:left="5670"/>
        <w:rPr>
          <w:rFonts w:cs="Times New Roman"/>
          <w:b/>
          <w:szCs w:val="28"/>
          <w:lang w:val="ru-RU"/>
        </w:rPr>
      </w:pPr>
      <w:r w:rsidRPr="00A556EA">
        <w:rPr>
          <w:rFonts w:cs="Times New Roman"/>
          <w:b/>
          <w:szCs w:val="28"/>
          <w:lang w:val="ru-RU"/>
        </w:rPr>
        <w:t>Исполнитель:</w:t>
      </w:r>
    </w:p>
    <w:p w:rsidR="001F4C12" w:rsidRPr="00A556EA" w:rsidRDefault="001F4C12" w:rsidP="001F4C12">
      <w:pPr>
        <w:tabs>
          <w:tab w:val="right" w:pos="6663"/>
        </w:tabs>
        <w:spacing w:line="240" w:lineRule="auto"/>
        <w:ind w:left="5670"/>
        <w:rPr>
          <w:rFonts w:cs="Times New Roman"/>
          <w:szCs w:val="28"/>
          <w:lang w:val="ru-RU"/>
        </w:rPr>
      </w:pPr>
      <w:r w:rsidRPr="00A556EA">
        <w:rPr>
          <w:rFonts w:cs="Times New Roman"/>
          <w:szCs w:val="28"/>
          <w:lang w:val="ru-RU"/>
        </w:rPr>
        <w:t>студент 3 группы 1 курса ФВМ</w:t>
      </w:r>
    </w:p>
    <w:p w:rsidR="001F4C12" w:rsidRPr="00A556EA" w:rsidRDefault="001F4C12" w:rsidP="001F4C12">
      <w:pPr>
        <w:tabs>
          <w:tab w:val="right" w:pos="6663"/>
        </w:tabs>
        <w:spacing w:line="240" w:lineRule="auto"/>
        <w:ind w:left="5670"/>
        <w:rPr>
          <w:rFonts w:cs="Times New Roman"/>
          <w:szCs w:val="28"/>
          <w:lang w:val="ru-RU"/>
        </w:rPr>
      </w:pPr>
      <w:r w:rsidRPr="00A556EA">
        <w:rPr>
          <w:rFonts w:cs="Times New Roman"/>
          <w:szCs w:val="28"/>
          <w:lang w:val="ru-RU"/>
        </w:rPr>
        <w:t>Рабецкий Василий Александрович</w:t>
      </w:r>
    </w:p>
    <w:p w:rsidR="001F4C12" w:rsidRPr="00A556EA" w:rsidRDefault="001F4C12" w:rsidP="001F4C12">
      <w:pPr>
        <w:tabs>
          <w:tab w:val="right" w:pos="6663"/>
        </w:tabs>
        <w:spacing w:after="0" w:line="240" w:lineRule="auto"/>
        <w:ind w:left="5670"/>
        <w:rPr>
          <w:rFonts w:cs="Times New Roman"/>
          <w:szCs w:val="28"/>
          <w:lang w:val="ru-RU"/>
        </w:rPr>
      </w:pPr>
      <w:r w:rsidRPr="00A556EA">
        <w:rPr>
          <w:rFonts w:cs="Times New Roman"/>
          <w:lang w:val="ru-RU"/>
        </w:rPr>
        <w:t>_______________________</w:t>
      </w:r>
    </w:p>
    <w:p w:rsidR="001F4C12" w:rsidRPr="00A556EA" w:rsidRDefault="001F4C12" w:rsidP="001F4C12">
      <w:pPr>
        <w:tabs>
          <w:tab w:val="right" w:pos="6379"/>
        </w:tabs>
        <w:spacing w:after="0" w:line="240" w:lineRule="auto"/>
        <w:ind w:left="4536" w:right="140"/>
        <w:jc w:val="center"/>
        <w:rPr>
          <w:rFonts w:cs="Times New Roman"/>
          <w:sz w:val="18"/>
          <w:szCs w:val="18"/>
          <w:lang w:val="ru-RU"/>
        </w:rPr>
      </w:pPr>
      <w:r w:rsidRPr="00A556EA">
        <w:rPr>
          <w:rFonts w:cs="Times New Roman"/>
          <w:sz w:val="18"/>
          <w:szCs w:val="18"/>
          <w:lang w:val="ru-RU"/>
        </w:rPr>
        <w:t>подпись студента</w:t>
      </w:r>
    </w:p>
    <w:p w:rsidR="001F4C12" w:rsidRPr="00A556EA" w:rsidRDefault="001F4C12" w:rsidP="001F4C12">
      <w:pPr>
        <w:tabs>
          <w:tab w:val="right" w:pos="6663"/>
        </w:tabs>
        <w:spacing w:line="240" w:lineRule="auto"/>
        <w:ind w:left="5670"/>
        <w:rPr>
          <w:rFonts w:cs="Times New Roman"/>
          <w:b/>
          <w:szCs w:val="28"/>
          <w:lang w:val="ru-RU"/>
        </w:rPr>
      </w:pPr>
      <w:r w:rsidRPr="00A556EA">
        <w:rPr>
          <w:rFonts w:cs="Times New Roman"/>
          <w:b/>
          <w:szCs w:val="28"/>
          <w:lang w:val="ru-RU"/>
        </w:rPr>
        <w:t>Дата сдачи:</w:t>
      </w:r>
      <w:r w:rsidRPr="00A556EA">
        <w:rPr>
          <w:rFonts w:cs="Times New Roman"/>
          <w:szCs w:val="28"/>
          <w:lang w:val="ru-RU"/>
        </w:rPr>
        <w:t xml:space="preserve"> «___»________20___г.</w:t>
      </w:r>
    </w:p>
    <w:p w:rsidR="001F4C12" w:rsidRPr="00A556EA" w:rsidRDefault="001F4C12" w:rsidP="001F4C12">
      <w:pPr>
        <w:tabs>
          <w:tab w:val="right" w:pos="6663"/>
        </w:tabs>
        <w:spacing w:line="240" w:lineRule="auto"/>
        <w:ind w:left="5670"/>
        <w:rPr>
          <w:rFonts w:cs="Times New Roman"/>
          <w:b/>
          <w:szCs w:val="28"/>
          <w:lang w:val="ru-RU"/>
        </w:rPr>
      </w:pPr>
      <w:r w:rsidRPr="00A556EA">
        <w:rPr>
          <w:rFonts w:cs="Times New Roman"/>
          <w:b/>
          <w:szCs w:val="28"/>
          <w:lang w:val="ru-RU"/>
        </w:rPr>
        <w:t>Руководитель:</w:t>
      </w:r>
    </w:p>
    <w:p w:rsidR="001F4C12" w:rsidRPr="00A556EA" w:rsidRDefault="001F4C12" w:rsidP="001F4C12">
      <w:pPr>
        <w:tabs>
          <w:tab w:val="right" w:pos="6663"/>
        </w:tabs>
        <w:spacing w:line="240" w:lineRule="auto"/>
        <w:ind w:left="5670"/>
        <w:rPr>
          <w:rFonts w:cs="Times New Roman"/>
          <w:szCs w:val="28"/>
          <w:lang w:val="ru-RU"/>
        </w:rPr>
      </w:pPr>
      <w:r w:rsidRPr="00A556EA">
        <w:rPr>
          <w:rFonts w:cs="Times New Roman"/>
          <w:szCs w:val="28"/>
          <w:lang w:val="ru-RU"/>
        </w:rPr>
        <w:t>Старший преподаватель</w:t>
      </w:r>
    </w:p>
    <w:p w:rsidR="001F4C12" w:rsidRPr="00A556EA" w:rsidRDefault="001F4C12" w:rsidP="00FE0C68">
      <w:pPr>
        <w:tabs>
          <w:tab w:val="right" w:pos="6663"/>
        </w:tabs>
        <w:spacing w:line="240" w:lineRule="auto"/>
        <w:ind w:left="5670"/>
        <w:rPr>
          <w:rFonts w:cs="Times New Roman"/>
          <w:lang w:val="ru-RU"/>
        </w:rPr>
      </w:pPr>
      <w:r w:rsidRPr="00A556EA">
        <w:rPr>
          <w:rFonts w:cs="Times New Roman"/>
          <w:szCs w:val="28"/>
          <w:lang w:val="ru-RU"/>
        </w:rPr>
        <w:t>Полякова Ирина Анатольевна</w:t>
      </w:r>
    </w:p>
    <w:p w:rsidR="001F4C12" w:rsidRPr="00A556EA" w:rsidRDefault="001F4C12" w:rsidP="001F4C12">
      <w:pPr>
        <w:rPr>
          <w:rFonts w:cs="Times New Roman"/>
          <w:lang w:val="ru-RU"/>
        </w:rPr>
      </w:pPr>
    </w:p>
    <w:p w:rsidR="001F4C12" w:rsidRPr="00A556EA" w:rsidRDefault="001F4C12" w:rsidP="001F4C12">
      <w:pPr>
        <w:jc w:val="center"/>
        <w:rPr>
          <w:rFonts w:cs="Times New Roman"/>
          <w:b/>
          <w:sz w:val="24"/>
          <w:szCs w:val="24"/>
          <w:lang w:val="ru-RU"/>
        </w:rPr>
      </w:pPr>
      <w:r w:rsidRPr="00A556EA">
        <w:rPr>
          <w:rFonts w:cs="Times New Roman"/>
          <w:b/>
          <w:sz w:val="24"/>
          <w:szCs w:val="24"/>
          <w:lang w:val="ru-RU"/>
        </w:rPr>
        <w:t xml:space="preserve">ВИТЕБСК </w:t>
      </w:r>
    </w:p>
    <w:p w:rsidR="00DC0349" w:rsidRPr="00A556EA" w:rsidRDefault="001F4C12" w:rsidP="001F4C12">
      <w:pPr>
        <w:jc w:val="center"/>
        <w:rPr>
          <w:lang w:val="ru-RU"/>
        </w:rPr>
      </w:pPr>
      <w:r w:rsidRPr="00A556EA">
        <w:rPr>
          <w:rFonts w:cs="Times New Roman"/>
          <w:b/>
          <w:sz w:val="24"/>
          <w:szCs w:val="24"/>
          <w:lang w:val="ru-RU"/>
        </w:rPr>
        <w:t>2025</w:t>
      </w:r>
      <w:r w:rsidR="00745A21" w:rsidRPr="00A556EA">
        <w:rPr>
          <w:lang w:val="ru-RU"/>
        </w:rPr>
        <w:br w:type="page"/>
      </w:r>
    </w:p>
    <w:p w:rsidR="00DC0349" w:rsidRPr="00A556EA" w:rsidRDefault="00745A21" w:rsidP="00FE0C68">
      <w:pPr>
        <w:jc w:val="center"/>
        <w:rPr>
          <w:lang w:val="ru-RU"/>
        </w:rPr>
      </w:pPr>
      <w:r w:rsidRPr="00A556EA">
        <w:rPr>
          <w:lang w:val="ru-RU"/>
        </w:rPr>
        <w:lastRenderedPageBreak/>
        <w:t>СОДЕРЖАНИЕ</w:t>
      </w:r>
    </w:p>
    <w:sdt>
      <w:sdtPr>
        <w:rPr>
          <w:color w:val="auto"/>
          <w:lang w:val="ru-RU"/>
        </w:rPr>
        <w:id w:val="-1240940978"/>
        <w:docPartObj>
          <w:docPartGallery w:val="Table of Contents"/>
          <w:docPartUnique/>
        </w:docPartObj>
      </w:sdtPr>
      <w:sdtEndPr>
        <w:rPr>
          <w:rFonts w:ascii="Times New Roman" w:eastAsiaTheme="minorEastAsia" w:hAnsi="Times New Roman" w:cstheme="minorBidi"/>
          <w:szCs w:val="22"/>
          <w:lang w:val="en-US"/>
        </w:rPr>
      </w:sdtEndPr>
      <w:sdtContent>
        <w:p w:rsidR="00FE0C68" w:rsidRPr="00A556EA" w:rsidRDefault="00FE0C68" w:rsidP="00385035">
          <w:pPr>
            <w:pStyle w:val="aff"/>
            <w:jc w:val="both"/>
            <w:rPr>
              <w:color w:val="auto"/>
            </w:rPr>
          </w:pPr>
          <w:r w:rsidRPr="00A556EA">
            <w:rPr>
              <w:color w:val="auto"/>
              <w:lang w:val="ru-RU"/>
            </w:rPr>
            <w:t>Оглавление</w:t>
          </w:r>
        </w:p>
        <w:p w:rsidR="00FE0C68" w:rsidRPr="00A556EA" w:rsidRDefault="00FE0C68" w:rsidP="00385035">
          <w:pPr>
            <w:pStyle w:val="14"/>
            <w:tabs>
              <w:tab w:val="right" w:leader="dot" w:pos="10337"/>
            </w:tabs>
            <w:jc w:val="both"/>
            <w:rPr>
              <w:noProof/>
            </w:rPr>
          </w:pPr>
          <w:r w:rsidRPr="00A556EA">
            <w:fldChar w:fldCharType="begin"/>
          </w:r>
          <w:r w:rsidRPr="00A556EA">
            <w:instrText xml:space="preserve"> TOC \o "1-3" \h \z \u </w:instrText>
          </w:r>
          <w:r w:rsidRPr="00A556EA">
            <w:fldChar w:fldCharType="separate"/>
          </w:r>
          <w:hyperlink w:anchor="_Toc215331592" w:history="1">
            <w:r w:rsidRPr="00A556EA">
              <w:rPr>
                <w:rStyle w:val="aff8"/>
                <w:noProof/>
                <w:color w:val="auto"/>
                <w:lang w:val="ru-RU"/>
              </w:rPr>
              <w:t>Введение</w:t>
            </w:r>
            <w:r w:rsidRPr="00A556EA">
              <w:rPr>
                <w:noProof/>
                <w:webHidden/>
              </w:rPr>
              <w:tab/>
            </w:r>
            <w:r w:rsidRPr="00A556EA">
              <w:rPr>
                <w:noProof/>
                <w:webHidden/>
              </w:rPr>
              <w:fldChar w:fldCharType="begin"/>
            </w:r>
            <w:r w:rsidRPr="00A556EA">
              <w:rPr>
                <w:noProof/>
                <w:webHidden/>
              </w:rPr>
              <w:instrText xml:space="preserve"> PAGEREF _Toc215331592 \h </w:instrText>
            </w:r>
            <w:r w:rsidRPr="00A556EA">
              <w:rPr>
                <w:noProof/>
                <w:webHidden/>
              </w:rPr>
            </w:r>
            <w:r w:rsidRPr="00A556EA">
              <w:rPr>
                <w:noProof/>
                <w:webHidden/>
              </w:rPr>
              <w:fldChar w:fldCharType="separate"/>
            </w:r>
            <w:r w:rsidR="00CB4672">
              <w:rPr>
                <w:noProof/>
                <w:webHidden/>
              </w:rPr>
              <w:t>2</w:t>
            </w:r>
            <w:r w:rsidRPr="00A556EA">
              <w:rPr>
                <w:noProof/>
                <w:webHidden/>
              </w:rPr>
              <w:fldChar w:fldCharType="end"/>
            </w:r>
          </w:hyperlink>
        </w:p>
        <w:p w:rsidR="00FE0C68" w:rsidRPr="00A556EA" w:rsidRDefault="00FE0C68" w:rsidP="00385035">
          <w:pPr>
            <w:pStyle w:val="14"/>
            <w:tabs>
              <w:tab w:val="right" w:leader="dot" w:pos="10337"/>
            </w:tabs>
            <w:jc w:val="both"/>
            <w:rPr>
              <w:noProof/>
            </w:rPr>
          </w:pPr>
          <w:hyperlink w:anchor="_Toc215331593" w:history="1">
            <w:r w:rsidRPr="00A556EA">
              <w:rPr>
                <w:rStyle w:val="aff8"/>
                <w:noProof/>
                <w:color w:val="auto"/>
                <w:lang w:val="ru-RU"/>
              </w:rPr>
              <w:t>2. Динамика ключевых макроэкономических показателей Индии</w:t>
            </w:r>
            <w:r w:rsidRPr="00A556EA">
              <w:rPr>
                <w:noProof/>
                <w:webHidden/>
              </w:rPr>
              <w:tab/>
            </w:r>
            <w:r w:rsidRPr="00A556EA">
              <w:rPr>
                <w:noProof/>
                <w:webHidden/>
              </w:rPr>
              <w:fldChar w:fldCharType="begin"/>
            </w:r>
            <w:r w:rsidRPr="00A556EA">
              <w:rPr>
                <w:noProof/>
                <w:webHidden/>
              </w:rPr>
              <w:instrText xml:space="preserve"> PAGEREF _Toc215331593 \h </w:instrText>
            </w:r>
            <w:r w:rsidRPr="00A556EA">
              <w:rPr>
                <w:noProof/>
                <w:webHidden/>
              </w:rPr>
            </w:r>
            <w:r w:rsidRPr="00A556EA">
              <w:rPr>
                <w:noProof/>
                <w:webHidden/>
              </w:rPr>
              <w:fldChar w:fldCharType="separate"/>
            </w:r>
            <w:r w:rsidR="00CB4672">
              <w:rPr>
                <w:noProof/>
                <w:webHidden/>
              </w:rPr>
              <w:t>3</w:t>
            </w:r>
            <w:r w:rsidRPr="00A556EA">
              <w:rPr>
                <w:noProof/>
                <w:webHidden/>
              </w:rPr>
              <w:fldChar w:fldCharType="end"/>
            </w:r>
          </w:hyperlink>
        </w:p>
        <w:p w:rsidR="00FE0C68" w:rsidRPr="00A556EA" w:rsidRDefault="00FE0C68" w:rsidP="00385035">
          <w:pPr>
            <w:pStyle w:val="2c"/>
            <w:tabs>
              <w:tab w:val="right" w:leader="dot" w:pos="10337"/>
            </w:tabs>
            <w:jc w:val="both"/>
            <w:rPr>
              <w:noProof/>
            </w:rPr>
          </w:pPr>
          <w:hyperlink w:anchor="_Toc215331594" w:history="1">
            <w:r w:rsidRPr="00A556EA">
              <w:rPr>
                <w:rStyle w:val="aff8"/>
                <w:noProof/>
                <w:color w:val="auto"/>
                <w:lang w:val="ru-RU"/>
              </w:rPr>
              <w:t>2.1 Динамика ВВП</w:t>
            </w:r>
            <w:r w:rsidRPr="00A556EA">
              <w:rPr>
                <w:noProof/>
                <w:webHidden/>
              </w:rPr>
              <w:tab/>
            </w:r>
            <w:r w:rsidRPr="00A556EA">
              <w:rPr>
                <w:noProof/>
                <w:webHidden/>
              </w:rPr>
              <w:fldChar w:fldCharType="begin"/>
            </w:r>
            <w:r w:rsidRPr="00A556EA">
              <w:rPr>
                <w:noProof/>
                <w:webHidden/>
              </w:rPr>
              <w:instrText xml:space="preserve"> PAGEREF _Toc215331594 \h </w:instrText>
            </w:r>
            <w:r w:rsidRPr="00A556EA">
              <w:rPr>
                <w:noProof/>
                <w:webHidden/>
              </w:rPr>
            </w:r>
            <w:r w:rsidRPr="00A556EA">
              <w:rPr>
                <w:noProof/>
                <w:webHidden/>
              </w:rPr>
              <w:fldChar w:fldCharType="separate"/>
            </w:r>
            <w:r w:rsidR="00CB4672">
              <w:rPr>
                <w:noProof/>
                <w:webHidden/>
              </w:rPr>
              <w:t>3</w:t>
            </w:r>
            <w:r w:rsidRPr="00A556EA">
              <w:rPr>
                <w:noProof/>
                <w:webHidden/>
              </w:rPr>
              <w:fldChar w:fldCharType="end"/>
            </w:r>
          </w:hyperlink>
        </w:p>
        <w:p w:rsidR="00FE0C68" w:rsidRPr="00A556EA" w:rsidRDefault="00FE0C68" w:rsidP="00385035">
          <w:pPr>
            <w:pStyle w:val="2c"/>
            <w:tabs>
              <w:tab w:val="right" w:leader="dot" w:pos="10337"/>
            </w:tabs>
            <w:jc w:val="both"/>
            <w:rPr>
              <w:noProof/>
            </w:rPr>
          </w:pPr>
          <w:hyperlink w:anchor="_Toc215331595" w:history="1">
            <w:r w:rsidRPr="00A556EA">
              <w:rPr>
                <w:rStyle w:val="aff8"/>
                <w:noProof/>
                <w:color w:val="auto"/>
                <w:lang w:val="ru-RU"/>
              </w:rPr>
              <w:t>2.2 Уровень безработицы</w:t>
            </w:r>
            <w:r w:rsidRPr="00A556EA">
              <w:rPr>
                <w:noProof/>
                <w:webHidden/>
              </w:rPr>
              <w:tab/>
            </w:r>
            <w:r w:rsidRPr="00A556EA">
              <w:rPr>
                <w:noProof/>
                <w:webHidden/>
              </w:rPr>
              <w:fldChar w:fldCharType="begin"/>
            </w:r>
            <w:r w:rsidRPr="00A556EA">
              <w:rPr>
                <w:noProof/>
                <w:webHidden/>
              </w:rPr>
              <w:instrText xml:space="preserve"> PAGEREF _Toc215331595 \h </w:instrText>
            </w:r>
            <w:r w:rsidRPr="00A556EA">
              <w:rPr>
                <w:noProof/>
                <w:webHidden/>
              </w:rPr>
            </w:r>
            <w:r w:rsidRPr="00A556EA">
              <w:rPr>
                <w:noProof/>
                <w:webHidden/>
              </w:rPr>
              <w:fldChar w:fldCharType="separate"/>
            </w:r>
            <w:r w:rsidR="00CB4672">
              <w:rPr>
                <w:noProof/>
                <w:webHidden/>
              </w:rPr>
              <w:t>3</w:t>
            </w:r>
            <w:r w:rsidRPr="00A556EA">
              <w:rPr>
                <w:noProof/>
                <w:webHidden/>
              </w:rPr>
              <w:fldChar w:fldCharType="end"/>
            </w:r>
          </w:hyperlink>
        </w:p>
        <w:p w:rsidR="00FE0C68" w:rsidRPr="00A556EA" w:rsidRDefault="00FE0C68" w:rsidP="00385035">
          <w:pPr>
            <w:pStyle w:val="2c"/>
            <w:tabs>
              <w:tab w:val="right" w:leader="dot" w:pos="10337"/>
            </w:tabs>
            <w:jc w:val="both"/>
            <w:rPr>
              <w:noProof/>
            </w:rPr>
          </w:pPr>
          <w:hyperlink w:anchor="_Toc215331596" w:history="1">
            <w:r w:rsidRPr="00A556EA">
              <w:rPr>
                <w:rStyle w:val="aff8"/>
                <w:noProof/>
                <w:color w:val="auto"/>
                <w:lang w:val="ru-RU"/>
              </w:rPr>
              <w:t>2.3 Инфляция</w:t>
            </w:r>
            <w:r w:rsidRPr="00A556EA">
              <w:rPr>
                <w:noProof/>
                <w:webHidden/>
              </w:rPr>
              <w:tab/>
            </w:r>
            <w:r w:rsidRPr="00A556EA">
              <w:rPr>
                <w:noProof/>
                <w:webHidden/>
              </w:rPr>
              <w:fldChar w:fldCharType="begin"/>
            </w:r>
            <w:r w:rsidRPr="00A556EA">
              <w:rPr>
                <w:noProof/>
                <w:webHidden/>
              </w:rPr>
              <w:instrText xml:space="preserve"> PAGEREF _Toc215331596 \h </w:instrText>
            </w:r>
            <w:r w:rsidRPr="00A556EA">
              <w:rPr>
                <w:noProof/>
                <w:webHidden/>
              </w:rPr>
            </w:r>
            <w:r w:rsidRPr="00A556EA">
              <w:rPr>
                <w:noProof/>
                <w:webHidden/>
              </w:rPr>
              <w:fldChar w:fldCharType="separate"/>
            </w:r>
            <w:r w:rsidR="00CB4672">
              <w:rPr>
                <w:noProof/>
                <w:webHidden/>
              </w:rPr>
              <w:t>4</w:t>
            </w:r>
            <w:r w:rsidRPr="00A556EA">
              <w:rPr>
                <w:noProof/>
                <w:webHidden/>
              </w:rPr>
              <w:fldChar w:fldCharType="end"/>
            </w:r>
          </w:hyperlink>
        </w:p>
        <w:p w:rsidR="00FE0C68" w:rsidRPr="00A556EA" w:rsidRDefault="00FE0C68" w:rsidP="00385035">
          <w:pPr>
            <w:pStyle w:val="14"/>
            <w:tabs>
              <w:tab w:val="right" w:leader="dot" w:pos="10337"/>
            </w:tabs>
            <w:jc w:val="both"/>
            <w:rPr>
              <w:noProof/>
            </w:rPr>
          </w:pPr>
          <w:hyperlink w:anchor="_Toc215331597" w:history="1">
            <w:r w:rsidRPr="00A556EA">
              <w:rPr>
                <w:rStyle w:val="aff8"/>
                <w:noProof/>
                <w:color w:val="auto"/>
                <w:lang w:val="ru-RU"/>
              </w:rPr>
              <w:t>3. Налоговая система Индии</w:t>
            </w:r>
            <w:r w:rsidRPr="00A556EA">
              <w:rPr>
                <w:noProof/>
                <w:webHidden/>
              </w:rPr>
              <w:tab/>
            </w:r>
            <w:r w:rsidRPr="00A556EA">
              <w:rPr>
                <w:noProof/>
                <w:webHidden/>
              </w:rPr>
              <w:fldChar w:fldCharType="begin"/>
            </w:r>
            <w:r w:rsidRPr="00A556EA">
              <w:rPr>
                <w:noProof/>
                <w:webHidden/>
              </w:rPr>
              <w:instrText xml:space="preserve"> PAGEREF _Toc215331597 \h </w:instrText>
            </w:r>
            <w:r w:rsidRPr="00A556EA">
              <w:rPr>
                <w:noProof/>
                <w:webHidden/>
              </w:rPr>
            </w:r>
            <w:r w:rsidRPr="00A556EA">
              <w:rPr>
                <w:noProof/>
                <w:webHidden/>
              </w:rPr>
              <w:fldChar w:fldCharType="separate"/>
            </w:r>
            <w:r w:rsidR="00CB4672">
              <w:rPr>
                <w:noProof/>
                <w:webHidden/>
              </w:rPr>
              <w:t>5</w:t>
            </w:r>
            <w:r w:rsidRPr="00A556EA">
              <w:rPr>
                <w:noProof/>
                <w:webHidden/>
              </w:rPr>
              <w:fldChar w:fldCharType="end"/>
            </w:r>
          </w:hyperlink>
        </w:p>
        <w:p w:rsidR="00FE0C68" w:rsidRPr="00A556EA" w:rsidRDefault="00FE0C68" w:rsidP="00385035">
          <w:pPr>
            <w:pStyle w:val="2c"/>
            <w:tabs>
              <w:tab w:val="right" w:leader="dot" w:pos="10337"/>
            </w:tabs>
            <w:jc w:val="both"/>
            <w:rPr>
              <w:noProof/>
            </w:rPr>
          </w:pPr>
          <w:hyperlink w:anchor="_Toc215331598" w:history="1">
            <w:r w:rsidRPr="00A556EA">
              <w:rPr>
                <w:rStyle w:val="aff8"/>
                <w:noProof/>
                <w:color w:val="auto"/>
                <w:lang w:val="ru-RU"/>
              </w:rPr>
              <w:t>3.1 Налоги на бизнес</w:t>
            </w:r>
            <w:r w:rsidRPr="00A556EA">
              <w:rPr>
                <w:noProof/>
                <w:webHidden/>
              </w:rPr>
              <w:tab/>
            </w:r>
            <w:r w:rsidRPr="00A556EA">
              <w:rPr>
                <w:noProof/>
                <w:webHidden/>
              </w:rPr>
              <w:fldChar w:fldCharType="begin"/>
            </w:r>
            <w:r w:rsidRPr="00A556EA">
              <w:rPr>
                <w:noProof/>
                <w:webHidden/>
              </w:rPr>
              <w:instrText xml:space="preserve"> PAGEREF _Toc215331598 \h </w:instrText>
            </w:r>
            <w:r w:rsidRPr="00A556EA">
              <w:rPr>
                <w:noProof/>
                <w:webHidden/>
              </w:rPr>
            </w:r>
            <w:r w:rsidRPr="00A556EA">
              <w:rPr>
                <w:noProof/>
                <w:webHidden/>
              </w:rPr>
              <w:fldChar w:fldCharType="separate"/>
            </w:r>
            <w:r w:rsidR="00CB4672">
              <w:rPr>
                <w:noProof/>
                <w:webHidden/>
              </w:rPr>
              <w:t>5</w:t>
            </w:r>
            <w:r w:rsidRPr="00A556EA">
              <w:rPr>
                <w:noProof/>
                <w:webHidden/>
              </w:rPr>
              <w:fldChar w:fldCharType="end"/>
            </w:r>
          </w:hyperlink>
        </w:p>
        <w:p w:rsidR="00FE0C68" w:rsidRPr="00A556EA" w:rsidRDefault="00FE0C68" w:rsidP="00385035">
          <w:pPr>
            <w:pStyle w:val="2c"/>
            <w:tabs>
              <w:tab w:val="right" w:leader="dot" w:pos="10337"/>
            </w:tabs>
            <w:jc w:val="both"/>
            <w:rPr>
              <w:noProof/>
            </w:rPr>
          </w:pPr>
          <w:hyperlink w:anchor="_Toc215331599" w:history="1">
            <w:r w:rsidRPr="00A556EA">
              <w:rPr>
                <w:rStyle w:val="aff8"/>
                <w:noProof/>
                <w:color w:val="auto"/>
                <w:lang w:val="ru-RU"/>
              </w:rPr>
              <w:t>3.2 Налоги на доходы физических лиц</w:t>
            </w:r>
            <w:r w:rsidRPr="00A556EA">
              <w:rPr>
                <w:noProof/>
                <w:webHidden/>
              </w:rPr>
              <w:tab/>
            </w:r>
            <w:r w:rsidRPr="00A556EA">
              <w:rPr>
                <w:noProof/>
                <w:webHidden/>
              </w:rPr>
              <w:fldChar w:fldCharType="begin"/>
            </w:r>
            <w:r w:rsidRPr="00A556EA">
              <w:rPr>
                <w:noProof/>
                <w:webHidden/>
              </w:rPr>
              <w:instrText xml:space="preserve"> PAGEREF _Toc215331599 \h </w:instrText>
            </w:r>
            <w:r w:rsidRPr="00A556EA">
              <w:rPr>
                <w:noProof/>
                <w:webHidden/>
              </w:rPr>
            </w:r>
            <w:r w:rsidRPr="00A556EA">
              <w:rPr>
                <w:noProof/>
                <w:webHidden/>
              </w:rPr>
              <w:fldChar w:fldCharType="separate"/>
            </w:r>
            <w:r w:rsidR="00CB4672">
              <w:rPr>
                <w:noProof/>
                <w:webHidden/>
              </w:rPr>
              <w:t>5</w:t>
            </w:r>
            <w:r w:rsidRPr="00A556EA">
              <w:rPr>
                <w:noProof/>
                <w:webHidden/>
              </w:rPr>
              <w:fldChar w:fldCharType="end"/>
            </w:r>
          </w:hyperlink>
        </w:p>
        <w:p w:rsidR="00FE0C68" w:rsidRPr="00A556EA" w:rsidRDefault="00FE0C68" w:rsidP="00385035">
          <w:pPr>
            <w:pStyle w:val="14"/>
            <w:tabs>
              <w:tab w:val="right" w:leader="dot" w:pos="10337"/>
            </w:tabs>
            <w:jc w:val="both"/>
            <w:rPr>
              <w:noProof/>
            </w:rPr>
          </w:pPr>
          <w:hyperlink w:anchor="_Toc215331600" w:history="1">
            <w:r w:rsidRPr="00A556EA">
              <w:rPr>
                <w:rStyle w:val="aff8"/>
                <w:noProof/>
                <w:color w:val="auto"/>
                <w:lang w:val="ru-RU"/>
              </w:rPr>
              <w:t>Заключение</w:t>
            </w:r>
            <w:r w:rsidRPr="00A556EA">
              <w:rPr>
                <w:noProof/>
                <w:webHidden/>
              </w:rPr>
              <w:tab/>
            </w:r>
            <w:r w:rsidRPr="00A556EA">
              <w:rPr>
                <w:noProof/>
                <w:webHidden/>
              </w:rPr>
              <w:fldChar w:fldCharType="begin"/>
            </w:r>
            <w:r w:rsidRPr="00A556EA">
              <w:rPr>
                <w:noProof/>
                <w:webHidden/>
              </w:rPr>
              <w:instrText xml:space="preserve"> PAGEREF _Toc215331600 \h </w:instrText>
            </w:r>
            <w:r w:rsidRPr="00A556EA">
              <w:rPr>
                <w:noProof/>
                <w:webHidden/>
              </w:rPr>
            </w:r>
            <w:r w:rsidRPr="00A556EA">
              <w:rPr>
                <w:noProof/>
                <w:webHidden/>
              </w:rPr>
              <w:fldChar w:fldCharType="separate"/>
            </w:r>
            <w:r w:rsidR="00CB4672">
              <w:rPr>
                <w:noProof/>
                <w:webHidden/>
              </w:rPr>
              <w:t>6</w:t>
            </w:r>
            <w:r w:rsidRPr="00A556EA">
              <w:rPr>
                <w:noProof/>
                <w:webHidden/>
              </w:rPr>
              <w:fldChar w:fldCharType="end"/>
            </w:r>
          </w:hyperlink>
        </w:p>
        <w:p w:rsidR="00FE0C68" w:rsidRPr="00A556EA" w:rsidRDefault="00FE0C68" w:rsidP="00385035">
          <w:pPr>
            <w:pStyle w:val="14"/>
            <w:tabs>
              <w:tab w:val="right" w:leader="dot" w:pos="10337"/>
            </w:tabs>
            <w:jc w:val="both"/>
            <w:rPr>
              <w:noProof/>
            </w:rPr>
          </w:pPr>
          <w:hyperlink w:anchor="_Toc215331601" w:history="1">
            <w:r w:rsidRPr="00A556EA">
              <w:rPr>
                <w:rStyle w:val="aff8"/>
                <w:noProof/>
                <w:color w:val="auto"/>
              </w:rPr>
              <w:t>Список использованных источников</w:t>
            </w:r>
            <w:r w:rsidRPr="00A556EA">
              <w:rPr>
                <w:noProof/>
                <w:webHidden/>
              </w:rPr>
              <w:tab/>
            </w:r>
            <w:r w:rsidRPr="00A556EA">
              <w:rPr>
                <w:noProof/>
                <w:webHidden/>
              </w:rPr>
              <w:fldChar w:fldCharType="begin"/>
            </w:r>
            <w:r w:rsidRPr="00A556EA">
              <w:rPr>
                <w:noProof/>
                <w:webHidden/>
              </w:rPr>
              <w:instrText xml:space="preserve"> PAGEREF _Toc215331601 \h </w:instrText>
            </w:r>
            <w:r w:rsidRPr="00A556EA">
              <w:rPr>
                <w:noProof/>
                <w:webHidden/>
              </w:rPr>
            </w:r>
            <w:r w:rsidRPr="00A556EA">
              <w:rPr>
                <w:noProof/>
                <w:webHidden/>
              </w:rPr>
              <w:fldChar w:fldCharType="separate"/>
            </w:r>
            <w:r w:rsidR="00CB4672">
              <w:rPr>
                <w:noProof/>
                <w:webHidden/>
              </w:rPr>
              <w:t>7</w:t>
            </w:r>
            <w:r w:rsidRPr="00A556EA">
              <w:rPr>
                <w:noProof/>
                <w:webHidden/>
              </w:rPr>
              <w:fldChar w:fldCharType="end"/>
            </w:r>
          </w:hyperlink>
        </w:p>
        <w:p w:rsidR="00FE0C68" w:rsidRPr="00A556EA" w:rsidRDefault="00FE0C68" w:rsidP="00385035">
          <w:pPr>
            <w:jc w:val="both"/>
          </w:pPr>
          <w:r w:rsidRPr="00A556EA">
            <w:rPr>
              <w:b/>
              <w:bCs/>
            </w:rPr>
            <w:fldChar w:fldCharType="end"/>
          </w:r>
        </w:p>
      </w:sdtContent>
    </w:sdt>
    <w:p w:rsidR="00FE0C68" w:rsidRPr="00A556EA" w:rsidRDefault="00FE0C68">
      <w:pPr>
        <w:rPr>
          <w:lang w:val="ru-RU"/>
        </w:rPr>
      </w:pPr>
    </w:p>
    <w:p w:rsidR="00DC0349" w:rsidRPr="00A556EA" w:rsidRDefault="00745A21">
      <w:pPr>
        <w:rPr>
          <w:lang w:val="ru-RU"/>
        </w:rPr>
      </w:pPr>
      <w:r w:rsidRPr="00A556EA">
        <w:rPr>
          <w:lang w:val="ru-RU"/>
        </w:rPr>
        <w:br w:type="page"/>
      </w:r>
    </w:p>
    <w:p w:rsidR="00385035" w:rsidRPr="00385035" w:rsidRDefault="00745A21" w:rsidP="00385035">
      <w:pPr>
        <w:pStyle w:val="1"/>
        <w:spacing w:line="240" w:lineRule="auto"/>
        <w:jc w:val="both"/>
        <w:rPr>
          <w:color w:val="auto"/>
          <w:lang w:val="ru-RU"/>
        </w:rPr>
      </w:pPr>
      <w:bookmarkStart w:id="0" w:name="_Toc215331592"/>
      <w:r w:rsidRPr="00A556EA">
        <w:rPr>
          <w:color w:val="auto"/>
          <w:lang w:val="ru-RU"/>
        </w:rPr>
        <w:lastRenderedPageBreak/>
        <w:t>Введени</w:t>
      </w:r>
      <w:bookmarkEnd w:id="0"/>
      <w:r w:rsidR="00385035">
        <w:rPr>
          <w:color w:val="auto"/>
          <w:lang w:val="ru-RU"/>
        </w:rPr>
        <w:t>е</w:t>
      </w:r>
    </w:p>
    <w:p w:rsidR="00385035" w:rsidRPr="00385035" w:rsidRDefault="00385035" w:rsidP="00385035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  <w:lang w:val="ru-RU" w:eastAsia="ru-RU"/>
        </w:rPr>
      </w:pPr>
      <w:r w:rsidRPr="00385035">
        <w:rPr>
          <w:rFonts w:eastAsia="Times New Roman" w:cs="Times New Roman"/>
          <w:szCs w:val="24"/>
          <w:lang w:val="ru-RU" w:eastAsia="ru-RU"/>
        </w:rPr>
        <w:t xml:space="preserve">Экономическая система Индии представляет собой одну из самых динамично развивающихся в мире. Страна обладает огромным демографическим потенциалом, крупным внутренним рынком и быстро растущими секторами промышленности и услуг. Индия входит в число крупнейших экономик мира: сектор услуг формирует около </w:t>
      </w:r>
      <w:r w:rsidRPr="00385035">
        <w:rPr>
          <w:rFonts w:eastAsia="Times New Roman" w:cs="Times New Roman"/>
          <w:b/>
          <w:bCs/>
          <w:szCs w:val="24"/>
          <w:lang w:val="ru-RU" w:eastAsia="ru-RU"/>
        </w:rPr>
        <w:t>55 % ВВП</w:t>
      </w:r>
      <w:r w:rsidRPr="00385035">
        <w:rPr>
          <w:rFonts w:eastAsia="Times New Roman" w:cs="Times New Roman"/>
          <w:szCs w:val="24"/>
          <w:lang w:val="ru-RU" w:eastAsia="ru-RU"/>
        </w:rPr>
        <w:t xml:space="preserve">, промышленность — около </w:t>
      </w:r>
      <w:r w:rsidRPr="00385035">
        <w:rPr>
          <w:rFonts w:eastAsia="Times New Roman" w:cs="Times New Roman"/>
          <w:b/>
          <w:bCs/>
          <w:szCs w:val="24"/>
          <w:lang w:val="ru-RU" w:eastAsia="ru-RU"/>
        </w:rPr>
        <w:t>3,2 % мирового производства</w:t>
      </w:r>
      <w:r w:rsidRPr="00385035">
        <w:rPr>
          <w:rFonts w:eastAsia="Times New Roman" w:cs="Times New Roman"/>
          <w:szCs w:val="24"/>
          <w:lang w:val="ru-RU" w:eastAsia="ru-RU"/>
        </w:rPr>
        <w:t xml:space="preserve">, а сельское население составляет около </w:t>
      </w:r>
      <w:r w:rsidRPr="00385035">
        <w:rPr>
          <w:rFonts w:eastAsia="Times New Roman" w:cs="Times New Roman"/>
          <w:b/>
          <w:bCs/>
          <w:szCs w:val="24"/>
          <w:lang w:val="ru-RU" w:eastAsia="ru-RU"/>
        </w:rPr>
        <w:t>63 % населения страны</w:t>
      </w:r>
      <w:r w:rsidRPr="00385035">
        <w:rPr>
          <w:rFonts w:eastAsia="Times New Roman" w:cs="Times New Roman"/>
          <w:szCs w:val="24"/>
          <w:lang w:val="ru-RU" w:eastAsia="ru-RU"/>
        </w:rPr>
        <w:t>.</w:t>
      </w:r>
    </w:p>
    <w:p w:rsidR="00385035" w:rsidRPr="00385035" w:rsidRDefault="00385035" w:rsidP="00385035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  <w:lang w:val="ru-RU" w:eastAsia="ru-RU"/>
        </w:rPr>
      </w:pPr>
      <w:r w:rsidRPr="00385035">
        <w:rPr>
          <w:rFonts w:eastAsia="Times New Roman" w:cs="Times New Roman"/>
          <w:b/>
          <w:bCs/>
          <w:szCs w:val="24"/>
          <w:lang w:val="ru-RU" w:eastAsia="ru-RU"/>
        </w:rPr>
        <w:t>Актуальность исследования</w:t>
      </w:r>
      <w:r w:rsidRPr="00385035">
        <w:rPr>
          <w:rFonts w:eastAsia="Times New Roman" w:cs="Times New Roman"/>
          <w:szCs w:val="24"/>
          <w:lang w:val="ru-RU" w:eastAsia="ru-RU"/>
        </w:rPr>
        <w:t xml:space="preserve"> обусловлена тем, что экономика Индии сочетает высокие темпы роста с серьёзными структурными трудностями, такими как высокий уровень неформальной занятости и социально-экономическая неоднородность. Анализ её макроэкономических показателей позволяет лучше понять механизмы развития крупных развивающихся стран в XXI веке.</w:t>
      </w:r>
    </w:p>
    <w:p w:rsidR="00385035" w:rsidRPr="00385035" w:rsidRDefault="00385035" w:rsidP="00385035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  <w:lang w:val="ru-RU" w:eastAsia="ru-RU"/>
        </w:rPr>
      </w:pPr>
      <w:r w:rsidRPr="00385035">
        <w:rPr>
          <w:rFonts w:eastAsia="Times New Roman" w:cs="Times New Roman"/>
          <w:b/>
          <w:bCs/>
          <w:szCs w:val="24"/>
          <w:lang w:val="ru-RU" w:eastAsia="ru-RU"/>
        </w:rPr>
        <w:t>Цель работы:</w:t>
      </w:r>
      <w:r w:rsidRPr="00385035">
        <w:rPr>
          <w:rFonts w:eastAsia="Times New Roman" w:cs="Times New Roman"/>
          <w:szCs w:val="24"/>
          <w:lang w:val="ru-RU" w:eastAsia="ru-RU"/>
        </w:rPr>
        <w:t xml:space="preserve"> исследовать экономическую систему Индии и проанализировать её ключевые макроэкономические показатели.</w:t>
      </w:r>
    </w:p>
    <w:p w:rsidR="00385035" w:rsidRPr="00385035" w:rsidRDefault="00385035" w:rsidP="00385035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  <w:lang w:val="ru-RU" w:eastAsia="ru-RU"/>
        </w:rPr>
      </w:pPr>
      <w:r w:rsidRPr="00385035">
        <w:rPr>
          <w:rFonts w:eastAsia="Times New Roman" w:cs="Times New Roman"/>
          <w:b/>
          <w:bCs/>
          <w:szCs w:val="24"/>
          <w:lang w:val="ru-RU" w:eastAsia="ru-RU"/>
        </w:rPr>
        <w:t>Задачи:</w:t>
      </w:r>
    </w:p>
    <w:p w:rsidR="00385035" w:rsidRPr="00385035" w:rsidRDefault="00385035" w:rsidP="00385035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  <w:lang w:val="ru-RU" w:eastAsia="ru-RU"/>
        </w:rPr>
      </w:pPr>
      <w:r w:rsidRPr="00385035">
        <w:rPr>
          <w:rFonts w:eastAsia="Times New Roman" w:cs="Times New Roman"/>
          <w:szCs w:val="24"/>
          <w:lang w:val="ru-RU" w:eastAsia="ru-RU"/>
        </w:rPr>
        <w:t>Рассмотреть структуру экономики Индии.</w:t>
      </w:r>
    </w:p>
    <w:p w:rsidR="00385035" w:rsidRPr="00385035" w:rsidRDefault="00385035" w:rsidP="00385035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  <w:lang w:val="ru-RU" w:eastAsia="ru-RU"/>
        </w:rPr>
      </w:pPr>
      <w:r w:rsidRPr="00385035">
        <w:rPr>
          <w:rFonts w:eastAsia="Times New Roman" w:cs="Times New Roman"/>
          <w:szCs w:val="24"/>
          <w:lang w:val="ru-RU" w:eastAsia="ru-RU"/>
        </w:rPr>
        <w:t>Проанализировать динамику ВВП.</w:t>
      </w:r>
    </w:p>
    <w:p w:rsidR="00385035" w:rsidRPr="00385035" w:rsidRDefault="00385035" w:rsidP="00385035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  <w:lang w:val="ru-RU" w:eastAsia="ru-RU"/>
        </w:rPr>
      </w:pPr>
      <w:r w:rsidRPr="00385035">
        <w:rPr>
          <w:rFonts w:eastAsia="Times New Roman" w:cs="Times New Roman"/>
          <w:szCs w:val="24"/>
          <w:lang w:val="ru-RU" w:eastAsia="ru-RU"/>
        </w:rPr>
        <w:t>Оценить уровень безработицы и занятости.</w:t>
      </w:r>
    </w:p>
    <w:p w:rsidR="00385035" w:rsidRPr="00385035" w:rsidRDefault="00385035" w:rsidP="00385035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  <w:lang w:val="ru-RU" w:eastAsia="ru-RU"/>
        </w:rPr>
      </w:pPr>
      <w:r w:rsidRPr="00385035">
        <w:rPr>
          <w:rFonts w:eastAsia="Times New Roman" w:cs="Times New Roman"/>
          <w:szCs w:val="24"/>
          <w:lang w:val="ru-RU" w:eastAsia="ru-RU"/>
        </w:rPr>
        <w:t>Изучить особенности инфляции.</w:t>
      </w:r>
    </w:p>
    <w:p w:rsidR="00385035" w:rsidRPr="00385035" w:rsidRDefault="00385035" w:rsidP="00385035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  <w:lang w:val="ru-RU" w:eastAsia="ru-RU"/>
        </w:rPr>
      </w:pPr>
      <w:r w:rsidRPr="00385035">
        <w:rPr>
          <w:rFonts w:eastAsia="Times New Roman" w:cs="Times New Roman"/>
          <w:szCs w:val="24"/>
          <w:lang w:val="ru-RU" w:eastAsia="ru-RU"/>
        </w:rPr>
        <w:t>Рассмотреть налоговую и инвестиционную политику страны.</w:t>
      </w:r>
    </w:p>
    <w:p w:rsidR="00DC0349" w:rsidRPr="00385035" w:rsidRDefault="00745A21" w:rsidP="00385035">
      <w:pPr>
        <w:pStyle w:val="aff9"/>
        <w:numPr>
          <w:ilvl w:val="0"/>
          <w:numId w:val="10"/>
        </w:numPr>
        <w:jc w:val="both"/>
      </w:pPr>
      <w:r w:rsidRPr="00385035">
        <w:rPr>
          <w:sz w:val="28"/>
        </w:rPr>
        <w:br w:type="page"/>
      </w:r>
    </w:p>
    <w:p w:rsidR="00DC0349" w:rsidRPr="00A556EA" w:rsidRDefault="00745A21">
      <w:pPr>
        <w:pStyle w:val="1"/>
        <w:rPr>
          <w:color w:val="auto"/>
          <w:lang w:val="ru-RU"/>
        </w:rPr>
      </w:pPr>
      <w:bookmarkStart w:id="1" w:name="_Toc215331593"/>
      <w:r w:rsidRPr="00A556EA">
        <w:rPr>
          <w:color w:val="auto"/>
          <w:lang w:val="ru-RU"/>
        </w:rPr>
        <w:lastRenderedPageBreak/>
        <w:t>2. Динамика ключевых макроэкономических показателей Индии</w:t>
      </w:r>
      <w:bookmarkEnd w:id="1"/>
    </w:p>
    <w:p w:rsidR="00DC0349" w:rsidRDefault="00745A21">
      <w:pPr>
        <w:pStyle w:val="21"/>
        <w:rPr>
          <w:color w:val="auto"/>
          <w:lang w:val="ru-RU"/>
        </w:rPr>
      </w:pPr>
      <w:bookmarkStart w:id="2" w:name="_Toc215331594"/>
      <w:r w:rsidRPr="00A556EA">
        <w:rPr>
          <w:color w:val="auto"/>
          <w:lang w:val="ru-RU"/>
        </w:rPr>
        <w:t>2.1 Динамика ВВП</w:t>
      </w:r>
      <w:bookmarkEnd w:id="2"/>
    </w:p>
    <w:p w:rsidR="00B4119E" w:rsidRDefault="00B4119E" w:rsidP="00B4119E">
      <w:pPr>
        <w:rPr>
          <w:noProof/>
          <w:lang w:val="ru-RU" w:eastAsia="ru-RU"/>
        </w:rPr>
      </w:pPr>
      <w:r>
        <w:rPr>
          <w:noProof/>
          <w:lang w:val="ru-RU" w:eastAsia="ru-RU"/>
        </w:rPr>
        <w:drawing>
          <wp:inline distT="0" distB="0" distL="0" distR="0">
            <wp:extent cx="6610350" cy="3200400"/>
            <wp:effectExtent l="0" t="0" r="0" b="0"/>
            <wp:docPr id="1" name="Диаграмма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:rsidR="003A3FE2" w:rsidRPr="00610FDF" w:rsidRDefault="00943C2B" w:rsidP="00B4119E">
      <w:pPr>
        <w:rPr>
          <w:vertAlign w:val="superscript"/>
          <w:lang w:val="ru-RU"/>
        </w:rPr>
      </w:pPr>
      <w:r w:rsidRPr="00610FDF">
        <w:rPr>
          <w:noProof/>
          <w:vertAlign w:val="superscript"/>
          <w:lang w:val="ru-RU" w:eastAsia="ru-RU"/>
        </w:rPr>
        <w:drawing>
          <wp:inline distT="0" distB="0" distL="0" distR="0" wp14:anchorId="27B297DB" wp14:editId="09786582">
            <wp:extent cx="6610350" cy="3200400"/>
            <wp:effectExtent l="0" t="0" r="0" b="0"/>
            <wp:docPr id="8" name="Диаграмма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:rsidR="00385035" w:rsidRPr="007610FC" w:rsidRDefault="00385035" w:rsidP="00385035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  <w:lang w:val="ru-RU" w:eastAsia="ru-RU"/>
        </w:rPr>
      </w:pPr>
      <w:bookmarkStart w:id="3" w:name="_Toc215331595"/>
      <w:r w:rsidRPr="00385035">
        <w:rPr>
          <w:rFonts w:eastAsia="Times New Roman" w:cs="Times New Roman"/>
          <w:szCs w:val="24"/>
          <w:lang w:val="ru-RU" w:eastAsia="ru-RU"/>
        </w:rPr>
        <w:t xml:space="preserve">Индия уверенно удерживает статус одной из самых быстрорастущих экономик мира. По оценкам 2024–2025 гг., объём ВВП страны приблизился к </w:t>
      </w:r>
      <w:r w:rsidRPr="00385035">
        <w:rPr>
          <w:rFonts w:eastAsia="Times New Roman" w:cs="Times New Roman"/>
          <w:b/>
          <w:bCs/>
          <w:szCs w:val="24"/>
          <w:lang w:val="ru-RU" w:eastAsia="ru-RU"/>
        </w:rPr>
        <w:t>4 триллионам долларов США</w:t>
      </w:r>
      <w:r w:rsidRPr="00385035">
        <w:rPr>
          <w:rFonts w:eastAsia="Times New Roman" w:cs="Times New Roman"/>
          <w:szCs w:val="24"/>
          <w:lang w:val="ru-RU" w:eastAsia="ru-RU"/>
        </w:rPr>
        <w:t xml:space="preserve">. Темпы роста остаются высокими: в 2025 году рост ВВП составил около </w:t>
      </w:r>
      <w:r w:rsidRPr="00385035">
        <w:rPr>
          <w:rFonts w:eastAsia="Times New Roman" w:cs="Times New Roman"/>
          <w:b/>
          <w:bCs/>
          <w:szCs w:val="24"/>
          <w:lang w:val="ru-RU" w:eastAsia="ru-RU"/>
        </w:rPr>
        <w:t>7,8 %</w:t>
      </w:r>
      <w:r w:rsidRPr="00385035">
        <w:rPr>
          <w:rFonts w:eastAsia="Times New Roman" w:cs="Times New Roman"/>
          <w:szCs w:val="24"/>
          <w:lang w:val="ru-RU" w:eastAsia="ru-RU"/>
        </w:rPr>
        <w:t xml:space="preserve">, </w:t>
      </w:r>
      <w:r w:rsidRPr="00385035">
        <w:rPr>
          <w:rFonts w:eastAsia="Times New Roman" w:cs="Times New Roman"/>
          <w:szCs w:val="24"/>
          <w:lang w:val="ru-RU" w:eastAsia="ru-RU"/>
        </w:rPr>
        <w:lastRenderedPageBreak/>
        <w:t>что значительно выше средних мировых показателей.</w:t>
      </w:r>
      <w:r w:rsidR="007610FC">
        <w:rPr>
          <w:rFonts w:eastAsia="Times New Roman" w:cs="Times New Roman"/>
          <w:szCs w:val="24"/>
          <w:lang w:val="ru-RU" w:eastAsia="ru-RU"/>
        </w:rPr>
        <w:t xml:space="preserve"> </w:t>
      </w:r>
      <w:r w:rsidR="007610FC">
        <w:rPr>
          <w:lang w:val="ru-RU"/>
        </w:rPr>
        <w:t>Э</w:t>
      </w:r>
      <w:r w:rsidR="007610FC" w:rsidRPr="007610FC">
        <w:rPr>
          <w:lang w:val="ru-RU"/>
        </w:rPr>
        <w:t>кономика Индии быстро восстановилась после ковида и стабильно растёт около 7 %.</w:t>
      </w:r>
    </w:p>
    <w:p w:rsidR="00385035" w:rsidRPr="00385035" w:rsidRDefault="00385035" w:rsidP="00385035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  <w:lang w:val="ru-RU" w:eastAsia="ru-RU"/>
        </w:rPr>
      </w:pPr>
      <w:r w:rsidRPr="00385035">
        <w:rPr>
          <w:rFonts w:eastAsia="Times New Roman" w:cs="Times New Roman"/>
          <w:szCs w:val="24"/>
          <w:lang w:val="ru-RU" w:eastAsia="ru-RU"/>
        </w:rPr>
        <w:t>Основными факторами роста являются:</w:t>
      </w:r>
    </w:p>
    <w:p w:rsidR="00385035" w:rsidRPr="00385035" w:rsidRDefault="00385035" w:rsidP="00385035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  <w:lang w:val="ru-RU" w:eastAsia="ru-RU"/>
        </w:rPr>
      </w:pPr>
      <w:r w:rsidRPr="00385035">
        <w:rPr>
          <w:rFonts w:eastAsia="Times New Roman" w:cs="Times New Roman"/>
          <w:szCs w:val="24"/>
          <w:lang w:val="ru-RU" w:eastAsia="ru-RU"/>
        </w:rPr>
        <w:t>расширение сектора услуг;</w:t>
      </w:r>
    </w:p>
    <w:p w:rsidR="00385035" w:rsidRPr="00385035" w:rsidRDefault="00385035" w:rsidP="00385035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  <w:lang w:val="ru-RU" w:eastAsia="ru-RU"/>
        </w:rPr>
      </w:pPr>
      <w:r w:rsidRPr="00385035">
        <w:rPr>
          <w:rFonts w:eastAsia="Times New Roman" w:cs="Times New Roman"/>
          <w:szCs w:val="24"/>
          <w:lang w:val="ru-RU" w:eastAsia="ru-RU"/>
        </w:rPr>
        <w:t>развитие промышленности и цифровых технологий;</w:t>
      </w:r>
    </w:p>
    <w:p w:rsidR="00385035" w:rsidRPr="00385035" w:rsidRDefault="00385035" w:rsidP="00385035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  <w:lang w:val="ru-RU" w:eastAsia="ru-RU"/>
        </w:rPr>
      </w:pPr>
      <w:r w:rsidRPr="00385035">
        <w:rPr>
          <w:rFonts w:eastAsia="Times New Roman" w:cs="Times New Roman"/>
          <w:szCs w:val="24"/>
          <w:lang w:val="ru-RU" w:eastAsia="ru-RU"/>
        </w:rPr>
        <w:t>высокая доля инвестиций в основной капитал;</w:t>
      </w:r>
    </w:p>
    <w:p w:rsidR="00385035" w:rsidRPr="00385035" w:rsidRDefault="00385035" w:rsidP="00385035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  <w:lang w:val="ru-RU" w:eastAsia="ru-RU"/>
        </w:rPr>
      </w:pPr>
      <w:r w:rsidRPr="00385035">
        <w:rPr>
          <w:rFonts w:eastAsia="Times New Roman" w:cs="Times New Roman"/>
          <w:szCs w:val="24"/>
          <w:lang w:val="ru-RU" w:eastAsia="ru-RU"/>
        </w:rPr>
        <w:t>масштабные государственные вложения в инфраструктуру (логистику, транспорт, энергетику).</w:t>
      </w:r>
    </w:p>
    <w:p w:rsidR="00385035" w:rsidRDefault="00385035" w:rsidP="00385035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  <w:lang w:val="ru-RU" w:eastAsia="ru-RU"/>
        </w:rPr>
      </w:pPr>
      <w:r w:rsidRPr="00385035">
        <w:rPr>
          <w:rFonts w:eastAsia="Times New Roman" w:cs="Times New Roman"/>
          <w:szCs w:val="24"/>
          <w:lang w:val="ru-RU" w:eastAsia="ru-RU"/>
        </w:rPr>
        <w:t>Кроме того, Индия является одним из глобальных центров IT-услуг и аутсорсинга, что вносит значительный вклад в её экономическую динамику.</w:t>
      </w:r>
    </w:p>
    <w:p w:rsidR="00301EE4" w:rsidRDefault="00301EE4" w:rsidP="00385035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  <w:lang w:val="ru-RU" w:eastAsia="ru-RU"/>
        </w:rPr>
      </w:pPr>
    </w:p>
    <w:p w:rsidR="00DA44F4" w:rsidRDefault="00DA44F4" w:rsidP="00385035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  <w:lang w:val="ru-RU" w:eastAsia="ru-RU"/>
        </w:rPr>
      </w:pPr>
    </w:p>
    <w:p w:rsidR="00DA44F4" w:rsidRPr="00385035" w:rsidRDefault="00DA44F4" w:rsidP="00385035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  <w:lang w:val="ru-RU" w:eastAsia="ru-RU"/>
        </w:rPr>
      </w:pPr>
    </w:p>
    <w:p w:rsidR="00DC0349" w:rsidRDefault="00745A21">
      <w:pPr>
        <w:pStyle w:val="21"/>
        <w:rPr>
          <w:color w:val="auto"/>
          <w:lang w:val="ru-RU"/>
        </w:rPr>
      </w:pPr>
      <w:r w:rsidRPr="00A556EA">
        <w:rPr>
          <w:color w:val="auto"/>
          <w:lang w:val="ru-RU"/>
        </w:rPr>
        <w:t>2.2 Уровень безработицы</w:t>
      </w:r>
      <w:bookmarkEnd w:id="3"/>
    </w:p>
    <w:p w:rsidR="007667CC" w:rsidRPr="007667CC" w:rsidRDefault="007667CC" w:rsidP="007667CC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5486400" cy="3200400"/>
            <wp:effectExtent l="0" t="0" r="0" b="0"/>
            <wp:docPr id="2" name="Диаграмма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:rsidR="00301EE4" w:rsidRPr="00DF0B24" w:rsidRDefault="00DF0B24" w:rsidP="00DF0B24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  <w:lang w:val="ru-RU" w:eastAsia="ru-RU"/>
        </w:rPr>
      </w:pPr>
      <w:bookmarkStart w:id="4" w:name="_Toc215331596"/>
      <w:r w:rsidRPr="00DF0B24">
        <w:rPr>
          <w:rFonts w:eastAsia="Times New Roman" w:cs="Times New Roman"/>
          <w:szCs w:val="24"/>
          <w:lang w:val="ru-RU" w:eastAsia="ru-RU"/>
        </w:rPr>
        <w:t xml:space="preserve">Официальный уровень безработицы в Индии составляет </w:t>
      </w:r>
      <w:r w:rsidRPr="00DF0B24">
        <w:rPr>
          <w:rFonts w:eastAsia="Times New Roman" w:cs="Times New Roman"/>
          <w:b/>
          <w:bCs/>
          <w:szCs w:val="24"/>
          <w:lang w:val="ru-RU" w:eastAsia="ru-RU"/>
        </w:rPr>
        <w:t>4,1–4,9 %</w:t>
      </w:r>
      <w:r w:rsidRPr="00DF0B24">
        <w:rPr>
          <w:rFonts w:eastAsia="Times New Roman" w:cs="Times New Roman"/>
          <w:szCs w:val="24"/>
          <w:lang w:val="ru-RU" w:eastAsia="ru-RU"/>
        </w:rPr>
        <w:t xml:space="preserve"> (по данным за 2022–2024 гг.). Однако эта цифра не отражает реальной ситуации на рынке труда из-за крайне высокой доли неформальной занятости.</w:t>
      </w:r>
    </w:p>
    <w:p w:rsidR="00DF0B24" w:rsidRPr="00DF0B24" w:rsidRDefault="00DF0B24" w:rsidP="00DF0B24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  <w:lang w:val="ru-RU" w:eastAsia="ru-RU"/>
        </w:rPr>
      </w:pPr>
      <w:r w:rsidRPr="00DF0B24">
        <w:rPr>
          <w:rFonts w:eastAsia="Times New Roman" w:cs="Times New Roman"/>
          <w:szCs w:val="24"/>
          <w:lang w:val="ru-RU" w:eastAsia="ru-RU"/>
        </w:rPr>
        <w:lastRenderedPageBreak/>
        <w:t>Особенности рынка труда Индии:</w:t>
      </w:r>
    </w:p>
    <w:p w:rsidR="00DF0B24" w:rsidRPr="00DF0B24" w:rsidRDefault="00DF0B24" w:rsidP="007667CC">
      <w:pPr>
        <w:numPr>
          <w:ilvl w:val="0"/>
          <w:numId w:val="13"/>
        </w:numPr>
        <w:tabs>
          <w:tab w:val="clear" w:pos="720"/>
        </w:tabs>
        <w:spacing w:before="100" w:beforeAutospacing="1" w:after="100" w:afterAutospacing="1" w:line="240" w:lineRule="auto"/>
        <w:ind w:left="567" w:hanging="284"/>
        <w:jc w:val="both"/>
        <w:rPr>
          <w:rFonts w:eastAsia="Times New Roman" w:cs="Times New Roman"/>
          <w:szCs w:val="24"/>
          <w:lang w:val="ru-RU" w:eastAsia="ru-RU"/>
        </w:rPr>
      </w:pPr>
      <w:r w:rsidRPr="00DF0B24">
        <w:rPr>
          <w:rFonts w:eastAsia="Times New Roman" w:cs="Times New Roman"/>
          <w:szCs w:val="24"/>
          <w:lang w:val="ru-RU" w:eastAsia="ru-RU"/>
        </w:rPr>
        <w:t xml:space="preserve">около </w:t>
      </w:r>
      <w:r w:rsidRPr="00DF0B24">
        <w:rPr>
          <w:rFonts w:eastAsia="Times New Roman" w:cs="Times New Roman"/>
          <w:b/>
          <w:bCs/>
          <w:szCs w:val="24"/>
          <w:lang w:val="ru-RU" w:eastAsia="ru-RU"/>
        </w:rPr>
        <w:t>80–82 % работников</w:t>
      </w:r>
      <w:r w:rsidRPr="00DF0B24">
        <w:rPr>
          <w:rFonts w:eastAsia="Times New Roman" w:cs="Times New Roman"/>
          <w:szCs w:val="24"/>
          <w:lang w:val="ru-RU" w:eastAsia="ru-RU"/>
        </w:rPr>
        <w:t xml:space="preserve"> заняты в </w:t>
      </w:r>
      <w:r w:rsidRPr="00DF0B24">
        <w:rPr>
          <w:rFonts w:eastAsia="Times New Roman" w:cs="Times New Roman"/>
          <w:b/>
          <w:bCs/>
          <w:szCs w:val="24"/>
          <w:lang w:val="ru-RU" w:eastAsia="ru-RU"/>
        </w:rPr>
        <w:t>неформальном секторе</w:t>
      </w:r>
      <w:r w:rsidRPr="00DF0B24">
        <w:rPr>
          <w:rFonts w:eastAsia="Times New Roman" w:cs="Times New Roman"/>
          <w:szCs w:val="24"/>
          <w:lang w:val="ru-RU" w:eastAsia="ru-RU"/>
        </w:rPr>
        <w:t xml:space="preserve"> — без стабильного контракта и социальных гарантий;</w:t>
      </w:r>
    </w:p>
    <w:p w:rsidR="00DF0B24" w:rsidRPr="00DF0B24" w:rsidRDefault="00DF0B24" w:rsidP="007667CC">
      <w:pPr>
        <w:numPr>
          <w:ilvl w:val="0"/>
          <w:numId w:val="13"/>
        </w:numPr>
        <w:tabs>
          <w:tab w:val="clear" w:pos="720"/>
        </w:tabs>
        <w:spacing w:before="100" w:beforeAutospacing="1" w:after="100" w:afterAutospacing="1" w:line="240" w:lineRule="auto"/>
        <w:ind w:left="567" w:hanging="284"/>
        <w:jc w:val="both"/>
        <w:rPr>
          <w:rFonts w:eastAsia="Times New Roman" w:cs="Times New Roman"/>
          <w:szCs w:val="24"/>
          <w:lang w:val="ru-RU" w:eastAsia="ru-RU"/>
        </w:rPr>
      </w:pPr>
      <w:r w:rsidRPr="00DF0B24">
        <w:rPr>
          <w:rFonts w:eastAsia="Times New Roman" w:cs="Times New Roman"/>
          <w:szCs w:val="24"/>
          <w:lang w:val="ru-RU" w:eastAsia="ru-RU"/>
        </w:rPr>
        <w:t>значительная часть рабочей силы сосредоточена в сельской местности;</w:t>
      </w:r>
    </w:p>
    <w:p w:rsidR="00DF0B24" w:rsidRPr="00DF0B24" w:rsidRDefault="00DF0B24" w:rsidP="007667CC">
      <w:pPr>
        <w:numPr>
          <w:ilvl w:val="0"/>
          <w:numId w:val="13"/>
        </w:numPr>
        <w:tabs>
          <w:tab w:val="clear" w:pos="720"/>
        </w:tabs>
        <w:spacing w:before="100" w:beforeAutospacing="1" w:after="100" w:afterAutospacing="1" w:line="240" w:lineRule="auto"/>
        <w:ind w:left="567" w:hanging="284"/>
        <w:jc w:val="both"/>
        <w:rPr>
          <w:rFonts w:eastAsia="Times New Roman" w:cs="Times New Roman"/>
          <w:szCs w:val="24"/>
          <w:lang w:val="ru-RU" w:eastAsia="ru-RU"/>
        </w:rPr>
      </w:pPr>
      <w:r w:rsidRPr="00DF0B24">
        <w:rPr>
          <w:rFonts w:eastAsia="Times New Roman" w:cs="Times New Roman"/>
          <w:szCs w:val="24"/>
          <w:lang w:val="ru-RU" w:eastAsia="ru-RU"/>
        </w:rPr>
        <w:t>молодёжь (15–29 лет) составляет наибольшую долю безработных;</w:t>
      </w:r>
    </w:p>
    <w:p w:rsidR="00DF0B24" w:rsidRPr="00DF0B24" w:rsidRDefault="00DF0B24" w:rsidP="007667CC">
      <w:pPr>
        <w:numPr>
          <w:ilvl w:val="0"/>
          <w:numId w:val="13"/>
        </w:numPr>
        <w:tabs>
          <w:tab w:val="clear" w:pos="720"/>
        </w:tabs>
        <w:spacing w:before="100" w:beforeAutospacing="1" w:after="100" w:afterAutospacing="1" w:line="240" w:lineRule="auto"/>
        <w:ind w:left="567" w:hanging="284"/>
        <w:jc w:val="both"/>
        <w:rPr>
          <w:rFonts w:eastAsia="Times New Roman" w:cs="Times New Roman"/>
          <w:szCs w:val="24"/>
          <w:lang w:val="ru-RU" w:eastAsia="ru-RU"/>
        </w:rPr>
      </w:pPr>
      <w:r w:rsidRPr="00DF0B24">
        <w:rPr>
          <w:rFonts w:eastAsia="Times New Roman" w:cs="Times New Roman"/>
          <w:szCs w:val="24"/>
          <w:lang w:val="ru-RU" w:eastAsia="ru-RU"/>
        </w:rPr>
        <w:t>низкий уровень образования и профессиональной подготовки ограничивает доступ к формальному сектору.</w:t>
      </w:r>
    </w:p>
    <w:p w:rsidR="00DF0B24" w:rsidRDefault="00DF0B24" w:rsidP="00DF0B24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  <w:lang w:val="ru-RU" w:eastAsia="ru-RU"/>
        </w:rPr>
      </w:pPr>
      <w:r w:rsidRPr="00DF0B24">
        <w:rPr>
          <w:rFonts w:eastAsia="Times New Roman" w:cs="Times New Roman"/>
          <w:szCs w:val="24"/>
          <w:lang w:val="ru-RU" w:eastAsia="ru-RU"/>
        </w:rPr>
        <w:t>Таким образом, несмотря на умеренный официальный уровень безработицы, качество занятости остаётся серьёзной социальной проблемой.</w:t>
      </w:r>
    </w:p>
    <w:p w:rsidR="007610FC" w:rsidRDefault="007610FC" w:rsidP="00DF0B24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  <w:lang w:val="ru-RU" w:eastAsia="ru-RU"/>
        </w:rPr>
      </w:pPr>
    </w:p>
    <w:p w:rsidR="007610FC" w:rsidRPr="00DF0B24" w:rsidRDefault="007610FC" w:rsidP="00DF0B24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  <w:lang w:val="ru-RU" w:eastAsia="ru-RU"/>
        </w:rPr>
      </w:pPr>
    </w:p>
    <w:p w:rsidR="00DC0349" w:rsidRDefault="00745A21">
      <w:pPr>
        <w:pStyle w:val="21"/>
        <w:rPr>
          <w:color w:val="auto"/>
          <w:lang w:val="ru-RU"/>
        </w:rPr>
      </w:pPr>
      <w:r w:rsidRPr="00A556EA">
        <w:rPr>
          <w:color w:val="auto"/>
          <w:lang w:val="ru-RU"/>
        </w:rPr>
        <w:t>2.3 Инфляция</w:t>
      </w:r>
      <w:bookmarkEnd w:id="4"/>
    </w:p>
    <w:p w:rsidR="00301EE4" w:rsidRPr="00301EE4" w:rsidRDefault="00301EE4" w:rsidP="00301EE4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6772275" cy="2990850"/>
            <wp:effectExtent l="0" t="0" r="9525" b="0"/>
            <wp:docPr id="9" name="Диаграмма 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:rsidR="00CB4672" w:rsidRPr="00CB4672" w:rsidRDefault="00CB4672" w:rsidP="007610FC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  <w:lang w:val="ru-RU" w:eastAsia="ru-RU"/>
        </w:rPr>
      </w:pPr>
      <w:bookmarkStart w:id="5" w:name="_Toc215331597"/>
      <w:r w:rsidRPr="00CB4672">
        <w:rPr>
          <w:rFonts w:eastAsia="Times New Roman" w:cs="Times New Roman"/>
          <w:szCs w:val="24"/>
          <w:lang w:val="ru-RU" w:eastAsia="ru-RU"/>
        </w:rPr>
        <w:t>Инфляция в Индии в 2024–2025 годах находится под контролем и демонстрирует тенденцию к снижению. Центральный банк Индии (Reserve Bank of India) проводит активную монетарную политику, направленную на стабильность цен.</w:t>
      </w:r>
    </w:p>
    <w:p w:rsidR="00CB4672" w:rsidRPr="00CB4672" w:rsidRDefault="00CB4672" w:rsidP="007610FC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  <w:lang w:val="ru-RU" w:eastAsia="ru-RU"/>
        </w:rPr>
      </w:pPr>
      <w:r w:rsidRPr="00CB4672">
        <w:rPr>
          <w:rFonts w:eastAsia="Times New Roman" w:cs="Times New Roman"/>
          <w:szCs w:val="24"/>
          <w:lang w:val="ru-RU" w:eastAsia="ru-RU"/>
        </w:rPr>
        <w:t>Особенности инфляционных процессов:</w:t>
      </w:r>
    </w:p>
    <w:p w:rsidR="00CB4672" w:rsidRPr="00CB4672" w:rsidRDefault="00CB4672" w:rsidP="007610FC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  <w:lang w:val="ru-RU" w:eastAsia="ru-RU"/>
        </w:rPr>
      </w:pPr>
      <w:r w:rsidRPr="00CB4672">
        <w:rPr>
          <w:rFonts w:eastAsia="Times New Roman" w:cs="Times New Roman"/>
          <w:szCs w:val="24"/>
          <w:lang w:val="ru-RU" w:eastAsia="ru-RU"/>
        </w:rPr>
        <w:t>замедление роста цен на продовольствие, которое традиционно сильно влияет на индекс потребительских цен;</w:t>
      </w:r>
    </w:p>
    <w:p w:rsidR="00CB4672" w:rsidRPr="00CB4672" w:rsidRDefault="00CB4672" w:rsidP="007610FC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  <w:lang w:val="ru-RU" w:eastAsia="ru-RU"/>
        </w:rPr>
      </w:pPr>
      <w:r w:rsidRPr="00CB4672">
        <w:rPr>
          <w:rFonts w:eastAsia="Times New Roman" w:cs="Times New Roman"/>
          <w:szCs w:val="24"/>
          <w:lang w:val="ru-RU" w:eastAsia="ru-RU"/>
        </w:rPr>
        <w:lastRenderedPageBreak/>
        <w:t>снижение общей инфляции до комфортного уровня благодаря мерам правительства и регулятора;</w:t>
      </w:r>
    </w:p>
    <w:p w:rsidR="00CB4672" w:rsidRPr="00CB4672" w:rsidRDefault="00CB4672" w:rsidP="007610FC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  <w:lang w:val="ru-RU" w:eastAsia="ru-RU"/>
        </w:rPr>
      </w:pPr>
      <w:r w:rsidRPr="00CB4672">
        <w:rPr>
          <w:rFonts w:eastAsia="Times New Roman" w:cs="Times New Roman"/>
          <w:szCs w:val="24"/>
          <w:lang w:val="ru-RU" w:eastAsia="ru-RU"/>
        </w:rPr>
        <w:t>несмотря на общую стабилизацию, инфляция неравномерно распределена по регионам и социальным группам.</w:t>
      </w:r>
    </w:p>
    <w:p w:rsidR="00CB4672" w:rsidRPr="00CB4672" w:rsidRDefault="00CB4672" w:rsidP="007610FC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  <w:lang w:val="ru-RU" w:eastAsia="ru-RU"/>
        </w:rPr>
      </w:pPr>
      <w:r w:rsidRPr="00CB4672">
        <w:rPr>
          <w:rFonts w:eastAsia="Times New Roman" w:cs="Times New Roman"/>
          <w:szCs w:val="24"/>
          <w:lang w:val="ru-RU" w:eastAsia="ru-RU"/>
        </w:rPr>
        <w:t>Контроль над инфляцией способствует удержанию покупательной способности населения и благоприятен для бизнеса.</w:t>
      </w:r>
    </w:p>
    <w:p w:rsidR="00DC0349" w:rsidRPr="00A556EA" w:rsidRDefault="00745A21">
      <w:pPr>
        <w:pStyle w:val="1"/>
        <w:rPr>
          <w:color w:val="auto"/>
          <w:lang w:val="ru-RU"/>
        </w:rPr>
      </w:pPr>
      <w:r w:rsidRPr="00A556EA">
        <w:rPr>
          <w:color w:val="auto"/>
          <w:lang w:val="ru-RU"/>
        </w:rPr>
        <w:t>3. Налоговая система Индии</w:t>
      </w:r>
      <w:bookmarkEnd w:id="5"/>
    </w:p>
    <w:p w:rsidR="00DC0349" w:rsidRPr="00A556EA" w:rsidRDefault="00745A21">
      <w:pPr>
        <w:pStyle w:val="21"/>
        <w:rPr>
          <w:color w:val="auto"/>
          <w:lang w:val="ru-RU"/>
        </w:rPr>
      </w:pPr>
      <w:bookmarkStart w:id="6" w:name="_Toc215331598"/>
      <w:r w:rsidRPr="00A556EA">
        <w:rPr>
          <w:color w:val="auto"/>
          <w:lang w:val="ru-RU"/>
        </w:rPr>
        <w:t>3.1 Налоги на бизнес</w:t>
      </w:r>
      <w:bookmarkEnd w:id="6"/>
    </w:p>
    <w:p w:rsidR="00B46E98" w:rsidRPr="00B46E98" w:rsidRDefault="00B46E98" w:rsidP="00B46E98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  <w:lang w:val="ru-RU" w:eastAsia="ru-RU"/>
        </w:rPr>
      </w:pPr>
      <w:bookmarkStart w:id="7" w:name="_Toc215331599"/>
      <w:r w:rsidRPr="00B46E98">
        <w:rPr>
          <w:rFonts w:eastAsia="Times New Roman" w:cs="Times New Roman"/>
          <w:szCs w:val="24"/>
          <w:lang w:val="ru-RU" w:eastAsia="ru-RU"/>
        </w:rPr>
        <w:t>Налоговая система Индии регулярно реформируется для привлечения инвесторов и развития промышленности. В стране действуют:</w:t>
      </w:r>
    </w:p>
    <w:p w:rsidR="00B46E98" w:rsidRPr="00B46E98" w:rsidRDefault="00B46E98" w:rsidP="00B46E98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  <w:lang w:val="ru-RU" w:eastAsia="ru-RU"/>
        </w:rPr>
      </w:pPr>
      <w:r w:rsidRPr="00B46E98">
        <w:rPr>
          <w:rFonts w:eastAsia="Times New Roman" w:cs="Times New Roman"/>
          <w:szCs w:val="24"/>
          <w:lang w:val="ru-RU" w:eastAsia="ru-RU"/>
        </w:rPr>
        <w:t>корпоративный налог (ставка зависит от размера компании и месяца регистрации — примерно 22–30 %);</w:t>
      </w:r>
    </w:p>
    <w:p w:rsidR="00B46E98" w:rsidRPr="00B46E98" w:rsidRDefault="00B46E98" w:rsidP="00B46E98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  <w:lang w:val="ru-RU" w:eastAsia="ru-RU"/>
        </w:rPr>
      </w:pPr>
      <w:r w:rsidRPr="00B46E98">
        <w:rPr>
          <w:rFonts w:eastAsia="Times New Roman" w:cs="Times New Roman"/>
          <w:szCs w:val="24"/>
          <w:lang w:val="ru-RU" w:eastAsia="ru-RU"/>
        </w:rPr>
        <w:t>льготы для новых производственных предприятий;</w:t>
      </w:r>
    </w:p>
    <w:p w:rsidR="00B46E98" w:rsidRPr="00B46E98" w:rsidRDefault="00B46E98" w:rsidP="00B46E98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  <w:lang w:val="ru-RU" w:eastAsia="ru-RU"/>
        </w:rPr>
      </w:pPr>
      <w:r w:rsidRPr="00B46E98">
        <w:rPr>
          <w:rFonts w:eastAsia="Times New Roman" w:cs="Times New Roman"/>
          <w:szCs w:val="24"/>
          <w:lang w:val="ru-RU" w:eastAsia="ru-RU"/>
        </w:rPr>
        <w:t>государственные программы поддержки высокотехнологичных и экспортно ориентированных отраслей.</w:t>
      </w:r>
    </w:p>
    <w:p w:rsidR="00B46E98" w:rsidRPr="00B46E98" w:rsidRDefault="00B46E98" w:rsidP="00B46E98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  <w:lang w:val="ru-RU" w:eastAsia="ru-RU"/>
        </w:rPr>
      </w:pPr>
      <w:r w:rsidRPr="00B46E98">
        <w:rPr>
          <w:rFonts w:eastAsia="Times New Roman" w:cs="Times New Roman"/>
          <w:szCs w:val="24"/>
          <w:lang w:val="ru-RU" w:eastAsia="ru-RU"/>
        </w:rPr>
        <w:t xml:space="preserve">Индия активно привлекает иностранный капитал: с 2000 по 2022 год страна получила </w:t>
      </w:r>
      <w:r w:rsidRPr="00B46E98">
        <w:rPr>
          <w:rFonts w:eastAsia="Times New Roman" w:cs="Times New Roman"/>
          <w:b/>
          <w:bCs/>
          <w:szCs w:val="24"/>
          <w:lang w:val="ru-RU" w:eastAsia="ru-RU"/>
        </w:rPr>
        <w:t>≈ 847 млрд долларов</w:t>
      </w:r>
      <w:r w:rsidRPr="00B46E98">
        <w:rPr>
          <w:rFonts w:eastAsia="Times New Roman" w:cs="Times New Roman"/>
          <w:szCs w:val="24"/>
          <w:lang w:val="ru-RU" w:eastAsia="ru-RU"/>
        </w:rPr>
        <w:t xml:space="preserve"> прямых иностранных инвестиций. Основные направления — IT, автомобилестроение, финансы, строительство, услуги.</w:t>
      </w:r>
    </w:p>
    <w:p w:rsidR="00DC0349" w:rsidRPr="00A556EA" w:rsidRDefault="00745A21">
      <w:pPr>
        <w:pStyle w:val="21"/>
        <w:rPr>
          <w:color w:val="auto"/>
          <w:lang w:val="ru-RU"/>
        </w:rPr>
      </w:pPr>
      <w:r w:rsidRPr="00A556EA">
        <w:rPr>
          <w:color w:val="auto"/>
          <w:lang w:val="ru-RU"/>
        </w:rPr>
        <w:t>3.2 Налоги на доходы физических лиц</w:t>
      </w:r>
      <w:bookmarkEnd w:id="7"/>
    </w:p>
    <w:p w:rsidR="00B46E98" w:rsidRPr="00B46E98" w:rsidRDefault="00B46E98" w:rsidP="00B46E98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  <w:lang w:val="ru-RU" w:eastAsia="ru-RU"/>
        </w:rPr>
      </w:pPr>
      <w:r w:rsidRPr="00B46E98">
        <w:rPr>
          <w:rFonts w:eastAsia="Times New Roman" w:cs="Times New Roman"/>
          <w:szCs w:val="24"/>
          <w:lang w:val="ru-RU" w:eastAsia="ru-RU"/>
        </w:rPr>
        <w:t>Система налогообложения доходов физических лиц в Индии прогрессивная: налог растёт вместе с уровнем дохода.</w:t>
      </w:r>
    </w:p>
    <w:p w:rsidR="00B46E98" w:rsidRPr="00B46E98" w:rsidRDefault="00B46E98" w:rsidP="00B46E98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  <w:lang w:val="ru-RU" w:eastAsia="ru-RU"/>
        </w:rPr>
      </w:pPr>
      <w:r w:rsidRPr="00B46E98">
        <w:rPr>
          <w:rFonts w:eastAsia="Times New Roman" w:cs="Times New Roman"/>
          <w:szCs w:val="24"/>
          <w:lang w:val="ru-RU" w:eastAsia="ru-RU"/>
        </w:rPr>
        <w:t>Однако существует несколько проблем:</w:t>
      </w:r>
    </w:p>
    <w:p w:rsidR="00B46E98" w:rsidRPr="00B46E98" w:rsidRDefault="00B46E98" w:rsidP="00B46E98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  <w:lang w:val="ru-RU" w:eastAsia="ru-RU"/>
        </w:rPr>
      </w:pPr>
      <w:r w:rsidRPr="00B46E98">
        <w:rPr>
          <w:rFonts w:eastAsia="Times New Roman" w:cs="Times New Roman"/>
          <w:szCs w:val="24"/>
          <w:lang w:val="ru-RU" w:eastAsia="ru-RU"/>
        </w:rPr>
        <w:t>большая часть населения работает в неформальном секторе;</w:t>
      </w:r>
    </w:p>
    <w:p w:rsidR="00B46E98" w:rsidRPr="00B46E98" w:rsidRDefault="00B46E98" w:rsidP="00B46E98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  <w:lang w:val="ru-RU" w:eastAsia="ru-RU"/>
        </w:rPr>
      </w:pPr>
      <w:r w:rsidRPr="00B46E98">
        <w:rPr>
          <w:rFonts w:eastAsia="Times New Roman" w:cs="Times New Roman"/>
          <w:szCs w:val="24"/>
          <w:lang w:val="ru-RU" w:eastAsia="ru-RU"/>
        </w:rPr>
        <w:t>многие доходы не поддаются официальному учёту;</w:t>
      </w:r>
    </w:p>
    <w:p w:rsidR="00B46E98" w:rsidRPr="00B46E98" w:rsidRDefault="00B46E98" w:rsidP="00B46E98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  <w:lang w:val="ru-RU" w:eastAsia="ru-RU"/>
        </w:rPr>
      </w:pPr>
      <w:r w:rsidRPr="00B46E98">
        <w:rPr>
          <w:rFonts w:eastAsia="Times New Roman" w:cs="Times New Roman"/>
          <w:szCs w:val="24"/>
          <w:lang w:val="ru-RU" w:eastAsia="ru-RU"/>
        </w:rPr>
        <w:t>низкий уровень налоговой дисциплины снижает объёмы собираемости налогов.</w:t>
      </w:r>
    </w:p>
    <w:p w:rsidR="00B46E98" w:rsidRPr="00B46E98" w:rsidRDefault="00B46E98" w:rsidP="00B46E98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  <w:lang w:val="ru-RU" w:eastAsia="ru-RU"/>
        </w:rPr>
      </w:pPr>
      <w:r w:rsidRPr="00B46E98">
        <w:rPr>
          <w:rFonts w:eastAsia="Times New Roman" w:cs="Times New Roman"/>
          <w:szCs w:val="24"/>
          <w:lang w:val="ru-RU" w:eastAsia="ru-RU"/>
        </w:rPr>
        <w:t>Это делает систему эффективной на бумаге, но ограниченной в реальной практике.</w:t>
      </w:r>
    </w:p>
    <w:p w:rsidR="00DC0349" w:rsidRPr="00A556EA" w:rsidRDefault="00745A21">
      <w:pPr>
        <w:rPr>
          <w:lang w:val="ru-RU"/>
        </w:rPr>
      </w:pPr>
      <w:r w:rsidRPr="00A556EA">
        <w:rPr>
          <w:lang w:val="ru-RU"/>
        </w:rPr>
        <w:br w:type="page"/>
      </w:r>
    </w:p>
    <w:p w:rsidR="00DC0349" w:rsidRPr="00A556EA" w:rsidRDefault="00745A21">
      <w:pPr>
        <w:pStyle w:val="1"/>
        <w:rPr>
          <w:color w:val="auto"/>
          <w:lang w:val="ru-RU"/>
        </w:rPr>
      </w:pPr>
      <w:bookmarkStart w:id="8" w:name="_Toc215331600"/>
      <w:r w:rsidRPr="00A556EA">
        <w:rPr>
          <w:color w:val="auto"/>
          <w:lang w:val="ru-RU"/>
        </w:rPr>
        <w:lastRenderedPageBreak/>
        <w:t>Заключение</w:t>
      </w:r>
      <w:bookmarkEnd w:id="8"/>
    </w:p>
    <w:p w:rsidR="00B46E98" w:rsidRPr="00B46E98" w:rsidRDefault="00B46E98" w:rsidP="00B46E98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  <w:lang w:val="ru-RU" w:eastAsia="ru-RU"/>
        </w:rPr>
      </w:pPr>
      <w:r w:rsidRPr="00B46E98">
        <w:rPr>
          <w:rFonts w:eastAsia="Times New Roman" w:cs="Times New Roman"/>
          <w:szCs w:val="24"/>
          <w:lang w:val="ru-RU" w:eastAsia="ru-RU"/>
        </w:rPr>
        <w:t>Экономическая система Индии сочетает высокие темпы развития и значительный потенциал с серьёзными внутренними дисбалансами. Страна быстро наращивает ВВП, укрепляет позиции в мировой экономике, активно развивает сектор услуг и промышленность. Сильными сторонами являются высокий демографический потенциал, рост инвестиций, модернизация инфраструктуры.</w:t>
      </w:r>
    </w:p>
    <w:p w:rsidR="00B46E98" w:rsidRPr="00B46E98" w:rsidRDefault="00B46E98" w:rsidP="00B46E98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  <w:lang w:val="ru-RU" w:eastAsia="ru-RU"/>
        </w:rPr>
      </w:pPr>
      <w:r w:rsidRPr="00B46E98">
        <w:rPr>
          <w:rFonts w:eastAsia="Times New Roman" w:cs="Times New Roman"/>
          <w:szCs w:val="24"/>
          <w:lang w:val="ru-RU" w:eastAsia="ru-RU"/>
        </w:rPr>
        <w:t>Среди проблем выделяются:</w:t>
      </w:r>
    </w:p>
    <w:p w:rsidR="00B46E98" w:rsidRPr="00B46E98" w:rsidRDefault="00B46E98" w:rsidP="00B46E98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  <w:lang w:val="ru-RU" w:eastAsia="ru-RU"/>
        </w:rPr>
      </w:pPr>
      <w:r w:rsidRPr="00B46E98">
        <w:rPr>
          <w:rFonts w:eastAsia="Times New Roman" w:cs="Times New Roman"/>
          <w:szCs w:val="24"/>
          <w:lang w:val="ru-RU" w:eastAsia="ru-RU"/>
        </w:rPr>
        <w:t>высокая доля неформальной занятости;</w:t>
      </w:r>
    </w:p>
    <w:p w:rsidR="00B46E98" w:rsidRPr="00B46E98" w:rsidRDefault="00B46E98" w:rsidP="00B46E98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  <w:lang w:val="ru-RU" w:eastAsia="ru-RU"/>
        </w:rPr>
      </w:pPr>
      <w:r w:rsidRPr="00B46E98">
        <w:rPr>
          <w:rFonts w:eastAsia="Times New Roman" w:cs="Times New Roman"/>
          <w:szCs w:val="24"/>
          <w:lang w:val="ru-RU" w:eastAsia="ru-RU"/>
        </w:rPr>
        <w:t>социально-экономическое неравенство;</w:t>
      </w:r>
    </w:p>
    <w:p w:rsidR="00B46E98" w:rsidRPr="00B46E98" w:rsidRDefault="00B46E98" w:rsidP="00B46E98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  <w:lang w:val="ru-RU" w:eastAsia="ru-RU"/>
        </w:rPr>
      </w:pPr>
      <w:r w:rsidRPr="00B46E98">
        <w:rPr>
          <w:rFonts w:eastAsia="Times New Roman" w:cs="Times New Roman"/>
          <w:szCs w:val="24"/>
          <w:lang w:val="ru-RU" w:eastAsia="ru-RU"/>
        </w:rPr>
        <w:t>зависимость многих регионов от сельского хозяйства;</w:t>
      </w:r>
    </w:p>
    <w:p w:rsidR="00B46E98" w:rsidRPr="00B46E98" w:rsidRDefault="00B46E98" w:rsidP="00B46E98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  <w:lang w:val="ru-RU" w:eastAsia="ru-RU"/>
        </w:rPr>
      </w:pPr>
      <w:r w:rsidRPr="00B46E98">
        <w:rPr>
          <w:rFonts w:eastAsia="Times New Roman" w:cs="Times New Roman"/>
          <w:szCs w:val="24"/>
          <w:lang w:val="ru-RU" w:eastAsia="ru-RU"/>
        </w:rPr>
        <w:t>сложность налогового администрирования.</w:t>
      </w:r>
    </w:p>
    <w:p w:rsidR="00DC0349" w:rsidRPr="00B46E98" w:rsidRDefault="00B46E98" w:rsidP="00B46E98">
      <w:pPr>
        <w:spacing w:before="100" w:beforeAutospacing="1" w:after="100" w:afterAutospacing="1" w:line="240" w:lineRule="auto"/>
        <w:jc w:val="both"/>
        <w:rPr>
          <w:rFonts w:eastAsia="Times New Roman" w:cs="Times New Roman"/>
          <w:sz w:val="24"/>
          <w:szCs w:val="24"/>
          <w:lang w:val="ru-RU" w:eastAsia="ru-RU"/>
        </w:rPr>
      </w:pPr>
      <w:r w:rsidRPr="00B46E98">
        <w:rPr>
          <w:rFonts w:eastAsia="Times New Roman" w:cs="Times New Roman"/>
          <w:szCs w:val="24"/>
          <w:lang w:val="ru-RU" w:eastAsia="ru-RU"/>
        </w:rPr>
        <w:t>Несмотря на эти вызовы, Индия имеет все шансы сохранить устойчивый рост и укрепить своё положение среди ведущих мировых экономик.</w:t>
      </w:r>
      <w:r w:rsidR="00745A21" w:rsidRPr="00A556EA">
        <w:rPr>
          <w:lang w:val="ru-RU"/>
        </w:rPr>
        <w:br w:type="page"/>
      </w:r>
    </w:p>
    <w:p w:rsidR="00DC0349" w:rsidRPr="00A556EA" w:rsidRDefault="00745A21">
      <w:pPr>
        <w:pStyle w:val="1"/>
        <w:rPr>
          <w:color w:val="auto"/>
        </w:rPr>
      </w:pPr>
      <w:bookmarkStart w:id="9" w:name="_Toc215331601"/>
      <w:r w:rsidRPr="00A556EA">
        <w:rPr>
          <w:color w:val="auto"/>
        </w:rPr>
        <w:lastRenderedPageBreak/>
        <w:t>Список использованных источников</w:t>
      </w:r>
      <w:bookmarkEnd w:id="9"/>
    </w:p>
    <w:p w:rsidR="00B46E98" w:rsidRPr="00B46E98" w:rsidRDefault="00B46E98" w:rsidP="00B46E98">
      <w:pPr>
        <w:pStyle w:val="aff9"/>
        <w:numPr>
          <w:ilvl w:val="0"/>
          <w:numId w:val="18"/>
        </w:numPr>
        <w:rPr>
          <w:sz w:val="28"/>
        </w:rPr>
      </w:pPr>
      <w:r w:rsidRPr="00B46E98">
        <w:rPr>
          <w:rStyle w:val="af6"/>
          <w:sz w:val="28"/>
          <w:lang w:val="en-US"/>
        </w:rPr>
        <w:t>World Bank — World Development Indicators (WDI).</w:t>
      </w:r>
      <w:r w:rsidRPr="00B46E98">
        <w:rPr>
          <w:sz w:val="28"/>
          <w:lang w:val="en-US"/>
        </w:rPr>
        <w:br/>
      </w:r>
      <w:r w:rsidRPr="00B46E98">
        <w:rPr>
          <w:rStyle w:val="af7"/>
          <w:sz w:val="28"/>
          <w:lang w:val="en-US"/>
        </w:rPr>
        <w:t>GDP Growth (Annual %), Inflation (CPI %), Unemployment (% of labor force).</w:t>
      </w:r>
      <w:r w:rsidRPr="00B46E98">
        <w:rPr>
          <w:sz w:val="28"/>
          <w:lang w:val="en-US"/>
        </w:rPr>
        <w:br/>
      </w:r>
      <w:r w:rsidRPr="00B46E98">
        <w:rPr>
          <w:sz w:val="28"/>
        </w:rPr>
        <w:t xml:space="preserve">[Электронный ресурс]. – Режим доступа: </w:t>
      </w:r>
      <w:hyperlink r:id="rId12" w:tgtFrame="_new" w:history="1">
        <w:r w:rsidRPr="00B46E98">
          <w:rPr>
            <w:rStyle w:val="aff8"/>
            <w:sz w:val="28"/>
          </w:rPr>
          <w:t>https://data.worldbank.org</w:t>
        </w:r>
      </w:hyperlink>
      <w:r w:rsidRPr="00B46E98">
        <w:rPr>
          <w:sz w:val="28"/>
        </w:rPr>
        <w:t xml:space="preserve"> – Дата </w:t>
      </w:r>
      <w:bookmarkStart w:id="10" w:name="_GoBack"/>
      <w:bookmarkEnd w:id="10"/>
      <w:r w:rsidRPr="00B46E98">
        <w:rPr>
          <w:sz w:val="28"/>
        </w:rPr>
        <w:t>доступа: 30.11.2025.</w:t>
      </w:r>
    </w:p>
    <w:p w:rsidR="00B46E98" w:rsidRPr="00B46E98" w:rsidRDefault="00B46E98" w:rsidP="00B46E98">
      <w:pPr>
        <w:pStyle w:val="aff9"/>
        <w:numPr>
          <w:ilvl w:val="0"/>
          <w:numId w:val="18"/>
        </w:numPr>
        <w:rPr>
          <w:sz w:val="28"/>
        </w:rPr>
      </w:pPr>
      <w:r w:rsidRPr="00B46E98">
        <w:rPr>
          <w:rStyle w:val="af6"/>
          <w:sz w:val="28"/>
          <w:lang w:val="en-US"/>
        </w:rPr>
        <w:t>International Monetary Fund (IMF).</w:t>
      </w:r>
      <w:r w:rsidRPr="00B46E98">
        <w:rPr>
          <w:sz w:val="28"/>
          <w:lang w:val="en-US"/>
        </w:rPr>
        <w:br/>
      </w:r>
      <w:r w:rsidRPr="00B46E98">
        <w:rPr>
          <w:rStyle w:val="af7"/>
          <w:sz w:val="28"/>
          <w:lang w:val="en-US"/>
        </w:rPr>
        <w:t>World Economic Outlook Reports; India – Article IV Consultation.</w:t>
      </w:r>
      <w:r w:rsidRPr="00B46E98">
        <w:rPr>
          <w:sz w:val="28"/>
          <w:lang w:val="en-US"/>
        </w:rPr>
        <w:br/>
      </w:r>
      <w:r w:rsidRPr="00B46E98">
        <w:rPr>
          <w:sz w:val="28"/>
        </w:rPr>
        <w:t xml:space="preserve">[Электронный ресурс]. – Режим доступа: </w:t>
      </w:r>
      <w:hyperlink r:id="rId13" w:tgtFrame="_new" w:history="1">
        <w:r w:rsidRPr="00B46E98">
          <w:rPr>
            <w:rStyle w:val="aff8"/>
            <w:sz w:val="28"/>
          </w:rPr>
          <w:t>https://www.imf.org</w:t>
        </w:r>
      </w:hyperlink>
      <w:r w:rsidRPr="00B46E98">
        <w:rPr>
          <w:sz w:val="28"/>
        </w:rPr>
        <w:t xml:space="preserve"> – Дата доступа: 30.11.2025.</w:t>
      </w:r>
    </w:p>
    <w:p w:rsidR="00B46E98" w:rsidRPr="00B46E98" w:rsidRDefault="00B46E98" w:rsidP="00B46E98">
      <w:pPr>
        <w:pStyle w:val="aff9"/>
        <w:numPr>
          <w:ilvl w:val="0"/>
          <w:numId w:val="18"/>
        </w:numPr>
        <w:rPr>
          <w:sz w:val="28"/>
        </w:rPr>
      </w:pPr>
      <w:r w:rsidRPr="00B46E98">
        <w:rPr>
          <w:rStyle w:val="af6"/>
          <w:sz w:val="28"/>
          <w:lang w:val="en-US"/>
        </w:rPr>
        <w:t>International Labour Organization (ILO).</w:t>
      </w:r>
      <w:r w:rsidRPr="00B46E98">
        <w:rPr>
          <w:sz w:val="28"/>
          <w:lang w:val="en-US"/>
        </w:rPr>
        <w:br/>
      </w:r>
      <w:r w:rsidRPr="00B46E98">
        <w:rPr>
          <w:rStyle w:val="af7"/>
          <w:sz w:val="28"/>
          <w:lang w:val="en-US"/>
        </w:rPr>
        <w:t>Modelled Estimates – Unemployment Data for India.</w:t>
      </w:r>
      <w:r w:rsidRPr="00B46E98">
        <w:rPr>
          <w:sz w:val="28"/>
          <w:lang w:val="en-US"/>
        </w:rPr>
        <w:br/>
      </w:r>
      <w:r w:rsidRPr="00B46E98">
        <w:rPr>
          <w:sz w:val="28"/>
        </w:rPr>
        <w:t xml:space="preserve">[Электронный ресурс]. – Режим доступа: </w:t>
      </w:r>
      <w:hyperlink r:id="rId14" w:tgtFrame="_new" w:history="1">
        <w:r w:rsidRPr="00B46E98">
          <w:rPr>
            <w:rStyle w:val="aff8"/>
            <w:sz w:val="28"/>
          </w:rPr>
          <w:t>https://ilostat.ilo.org</w:t>
        </w:r>
      </w:hyperlink>
      <w:r w:rsidRPr="00B46E98">
        <w:rPr>
          <w:sz w:val="28"/>
        </w:rPr>
        <w:t xml:space="preserve"> – Дата доступа: 30.11.2025.</w:t>
      </w:r>
    </w:p>
    <w:p w:rsidR="00B46E98" w:rsidRPr="00B46E98" w:rsidRDefault="00B46E98" w:rsidP="00B46E98">
      <w:pPr>
        <w:pStyle w:val="aff9"/>
        <w:numPr>
          <w:ilvl w:val="0"/>
          <w:numId w:val="18"/>
        </w:numPr>
        <w:rPr>
          <w:sz w:val="28"/>
        </w:rPr>
      </w:pPr>
      <w:r w:rsidRPr="00B46E98">
        <w:rPr>
          <w:rStyle w:val="af6"/>
          <w:sz w:val="28"/>
          <w:lang w:val="en-US"/>
        </w:rPr>
        <w:t>India Briefing (Dezan Shira &amp; Associates).</w:t>
      </w:r>
      <w:r w:rsidRPr="00B46E98">
        <w:rPr>
          <w:sz w:val="28"/>
          <w:lang w:val="en-US"/>
        </w:rPr>
        <w:br/>
      </w:r>
      <w:r w:rsidRPr="00B46E98">
        <w:rPr>
          <w:rStyle w:val="af7"/>
          <w:sz w:val="28"/>
          <w:lang w:val="en-US"/>
        </w:rPr>
        <w:t>Economic Indicators and India’s GDP, FDI &amp; Trade Trends.</w:t>
      </w:r>
      <w:r w:rsidRPr="00B46E98">
        <w:rPr>
          <w:sz w:val="28"/>
          <w:lang w:val="en-US"/>
        </w:rPr>
        <w:br/>
      </w:r>
      <w:r w:rsidRPr="00B46E98">
        <w:rPr>
          <w:sz w:val="28"/>
        </w:rPr>
        <w:t xml:space="preserve">[Электронный ресурс]. – Режим доступа: </w:t>
      </w:r>
      <w:hyperlink r:id="rId15" w:tgtFrame="_new" w:history="1">
        <w:r w:rsidRPr="00B46E98">
          <w:rPr>
            <w:rStyle w:val="aff8"/>
            <w:sz w:val="28"/>
          </w:rPr>
          <w:t>https://www.india-briefing.com</w:t>
        </w:r>
      </w:hyperlink>
      <w:r w:rsidRPr="00B46E98">
        <w:rPr>
          <w:sz w:val="28"/>
        </w:rPr>
        <w:t xml:space="preserve"> – Дата доступа: 30.11.2025.</w:t>
      </w:r>
    </w:p>
    <w:p w:rsidR="00B46E98" w:rsidRPr="00B46E98" w:rsidRDefault="00B46E98" w:rsidP="00B46E98">
      <w:pPr>
        <w:pStyle w:val="aff9"/>
        <w:numPr>
          <w:ilvl w:val="0"/>
          <w:numId w:val="18"/>
        </w:numPr>
        <w:rPr>
          <w:sz w:val="28"/>
        </w:rPr>
      </w:pPr>
      <w:r w:rsidRPr="00B46E98">
        <w:rPr>
          <w:rStyle w:val="af6"/>
          <w:sz w:val="28"/>
        </w:rPr>
        <w:t>RBC Отрасли.</w:t>
      </w:r>
      <w:r w:rsidRPr="00B46E98">
        <w:rPr>
          <w:sz w:val="28"/>
        </w:rPr>
        <w:br/>
      </w:r>
      <w:r w:rsidRPr="00B46E98">
        <w:rPr>
          <w:rStyle w:val="af7"/>
          <w:sz w:val="28"/>
        </w:rPr>
        <w:t>Аналитические материалы о рынке Индии, развитии промышленности и занятости.</w:t>
      </w:r>
      <w:r w:rsidRPr="00B46E98">
        <w:rPr>
          <w:sz w:val="28"/>
        </w:rPr>
        <w:br/>
        <w:t xml:space="preserve">[Электронный ресурс]. – Режим доступа: </w:t>
      </w:r>
      <w:hyperlink r:id="rId16" w:tgtFrame="_new" w:history="1">
        <w:r w:rsidRPr="00B46E98">
          <w:rPr>
            <w:rStyle w:val="aff8"/>
            <w:sz w:val="28"/>
          </w:rPr>
          <w:t>https://www.rbc.ru/industries/</w:t>
        </w:r>
      </w:hyperlink>
      <w:r w:rsidRPr="00B46E98">
        <w:rPr>
          <w:sz w:val="28"/>
        </w:rPr>
        <w:t xml:space="preserve"> – Дата доступа: 30.11.2025.</w:t>
      </w:r>
    </w:p>
    <w:p w:rsidR="00B46E98" w:rsidRPr="00B46E98" w:rsidRDefault="00B46E98" w:rsidP="00B46E98">
      <w:pPr>
        <w:pStyle w:val="aff9"/>
        <w:numPr>
          <w:ilvl w:val="0"/>
          <w:numId w:val="18"/>
        </w:numPr>
        <w:rPr>
          <w:sz w:val="28"/>
        </w:rPr>
      </w:pPr>
      <w:r w:rsidRPr="00B46E98">
        <w:rPr>
          <w:rStyle w:val="af6"/>
          <w:sz w:val="28"/>
        </w:rPr>
        <w:t>Wikipedia (русская и английская версии).</w:t>
      </w:r>
      <w:r w:rsidRPr="00B46E98">
        <w:rPr>
          <w:sz w:val="28"/>
        </w:rPr>
        <w:br/>
      </w:r>
      <w:r w:rsidRPr="00B46E98">
        <w:rPr>
          <w:rStyle w:val="af7"/>
          <w:sz w:val="28"/>
        </w:rPr>
        <w:t>«Экономика Индии» / «Economy of India» – обобщённые справочные сведения.</w:t>
      </w:r>
      <w:r w:rsidRPr="00B46E98">
        <w:rPr>
          <w:sz w:val="28"/>
        </w:rPr>
        <w:br/>
        <w:t xml:space="preserve">[Электронный ресурс]. – Режим доступа: </w:t>
      </w:r>
      <w:hyperlink r:id="rId17" w:tgtFrame="_new" w:history="1">
        <w:r w:rsidRPr="00B46E98">
          <w:rPr>
            <w:rStyle w:val="aff8"/>
            <w:sz w:val="28"/>
          </w:rPr>
          <w:t>https://ru.wikipedia.org/wiki/Экономика_Индии</w:t>
        </w:r>
      </w:hyperlink>
      <w:r w:rsidRPr="00B46E98">
        <w:rPr>
          <w:sz w:val="28"/>
        </w:rPr>
        <w:t xml:space="preserve"> – Дата доступа: 30.11.2025.</w:t>
      </w:r>
    </w:p>
    <w:p w:rsidR="00B46E98" w:rsidRPr="00B46E98" w:rsidRDefault="00B46E98" w:rsidP="00B46E98">
      <w:pPr>
        <w:pStyle w:val="aff9"/>
        <w:numPr>
          <w:ilvl w:val="0"/>
          <w:numId w:val="18"/>
        </w:numPr>
        <w:rPr>
          <w:sz w:val="28"/>
        </w:rPr>
      </w:pPr>
      <w:r w:rsidRPr="00B46E98">
        <w:rPr>
          <w:rStyle w:val="af6"/>
          <w:sz w:val="28"/>
          <w:lang w:val="en-US"/>
        </w:rPr>
        <w:t>UNIDO – Industrial Development Reports.</w:t>
      </w:r>
      <w:r w:rsidRPr="00B46E98">
        <w:rPr>
          <w:sz w:val="28"/>
          <w:lang w:val="en-US"/>
        </w:rPr>
        <w:br/>
      </w:r>
      <w:r w:rsidRPr="00B46E98">
        <w:rPr>
          <w:rStyle w:val="af7"/>
          <w:sz w:val="28"/>
          <w:lang w:val="en-US"/>
        </w:rPr>
        <w:t>Global manufacturing rankings &amp; data.</w:t>
      </w:r>
      <w:r w:rsidRPr="00B46E98">
        <w:rPr>
          <w:sz w:val="28"/>
          <w:lang w:val="en-US"/>
        </w:rPr>
        <w:br/>
      </w:r>
      <w:r w:rsidRPr="00B46E98">
        <w:rPr>
          <w:sz w:val="28"/>
        </w:rPr>
        <w:t xml:space="preserve">[Электронный ресурс]. – Режим доступа: </w:t>
      </w:r>
      <w:hyperlink r:id="rId18" w:tgtFrame="_new" w:history="1">
        <w:r w:rsidRPr="00B46E98">
          <w:rPr>
            <w:rStyle w:val="aff8"/>
            <w:sz w:val="28"/>
          </w:rPr>
          <w:t>https://www.unido.org</w:t>
        </w:r>
      </w:hyperlink>
      <w:r w:rsidRPr="00B46E98">
        <w:rPr>
          <w:sz w:val="28"/>
        </w:rPr>
        <w:t xml:space="preserve"> – Дата доступа: 30.11.2025.</w:t>
      </w:r>
    </w:p>
    <w:p w:rsidR="00B46E98" w:rsidRPr="00B46E98" w:rsidRDefault="00B46E98" w:rsidP="00B46E98">
      <w:pPr>
        <w:pStyle w:val="aff9"/>
        <w:numPr>
          <w:ilvl w:val="0"/>
          <w:numId w:val="18"/>
        </w:numPr>
        <w:rPr>
          <w:sz w:val="28"/>
        </w:rPr>
      </w:pPr>
      <w:r w:rsidRPr="00B46E98">
        <w:rPr>
          <w:rStyle w:val="af6"/>
          <w:sz w:val="28"/>
          <w:lang w:val="en-US"/>
        </w:rPr>
        <w:t>Statista — India Economic Indicators.</w:t>
      </w:r>
      <w:r w:rsidRPr="00B46E98">
        <w:rPr>
          <w:sz w:val="28"/>
          <w:lang w:val="en-US"/>
        </w:rPr>
        <w:br/>
      </w:r>
      <w:r w:rsidRPr="00B46E98">
        <w:rPr>
          <w:rStyle w:val="af7"/>
          <w:sz w:val="28"/>
          <w:lang w:val="en-US"/>
        </w:rPr>
        <w:t>Inflation, GDP, unemployment historical data.</w:t>
      </w:r>
      <w:r w:rsidRPr="00B46E98">
        <w:rPr>
          <w:sz w:val="28"/>
          <w:lang w:val="en-US"/>
        </w:rPr>
        <w:br/>
      </w:r>
      <w:r w:rsidRPr="00B46E98">
        <w:rPr>
          <w:sz w:val="28"/>
        </w:rPr>
        <w:t xml:space="preserve">[Электронный ресурс]. – Режим доступа: </w:t>
      </w:r>
      <w:hyperlink r:id="rId19" w:tgtFrame="_new" w:history="1">
        <w:r w:rsidRPr="00B46E98">
          <w:rPr>
            <w:rStyle w:val="aff8"/>
            <w:sz w:val="28"/>
          </w:rPr>
          <w:t>https://www.statista.com</w:t>
        </w:r>
      </w:hyperlink>
      <w:r w:rsidRPr="00B46E98">
        <w:rPr>
          <w:sz w:val="28"/>
        </w:rPr>
        <w:t xml:space="preserve"> – Дата доступа: 30.11.2025.</w:t>
      </w:r>
    </w:p>
    <w:p w:rsidR="00DC0349" w:rsidRPr="00B46E98" w:rsidRDefault="00DC0349">
      <w:pPr>
        <w:rPr>
          <w:lang w:val="ru-RU"/>
        </w:rPr>
      </w:pPr>
    </w:p>
    <w:sectPr w:rsidR="00DC0349" w:rsidRPr="00B46E98" w:rsidSect="001F4C12">
      <w:footerReference w:type="default" r:id="rId20"/>
      <w:pgSz w:w="12240" w:h="15840"/>
      <w:pgMar w:top="1440" w:right="900" w:bottom="1440" w:left="993" w:header="720" w:footer="720" w:gutter="0"/>
      <w:pgNumType w:start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837FC" w:rsidRDefault="002837FC" w:rsidP="001F4C12">
      <w:pPr>
        <w:spacing w:after="0" w:line="240" w:lineRule="auto"/>
      </w:pPr>
      <w:r>
        <w:separator/>
      </w:r>
    </w:p>
  </w:endnote>
  <w:endnote w:type="continuationSeparator" w:id="0">
    <w:p w:rsidR="002837FC" w:rsidRDefault="002837FC" w:rsidP="001F4C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51948144"/>
      <w:docPartObj>
        <w:docPartGallery w:val="Page Numbers (Bottom of Page)"/>
        <w:docPartUnique/>
      </w:docPartObj>
    </w:sdtPr>
    <w:sdtContent>
      <w:p w:rsidR="001F4C12" w:rsidRDefault="001F4C12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007BC" w:rsidRPr="00E007BC">
          <w:rPr>
            <w:noProof/>
            <w:lang w:val="ru-RU"/>
          </w:rPr>
          <w:t>8</w:t>
        </w:r>
        <w:r>
          <w:fldChar w:fldCharType="end"/>
        </w:r>
      </w:p>
    </w:sdtContent>
  </w:sdt>
  <w:p w:rsidR="001F4C12" w:rsidRDefault="001F4C12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837FC" w:rsidRDefault="002837FC" w:rsidP="001F4C12">
      <w:pPr>
        <w:spacing w:after="0" w:line="240" w:lineRule="auto"/>
      </w:pPr>
      <w:r>
        <w:separator/>
      </w:r>
    </w:p>
  </w:footnote>
  <w:footnote w:type="continuationSeparator" w:id="0">
    <w:p w:rsidR="002837FC" w:rsidRDefault="002837FC" w:rsidP="001F4C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2003A7"/>
    <w:multiLevelType w:val="multilevel"/>
    <w:tmpl w:val="A3C8A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F52BC5"/>
    <w:multiLevelType w:val="multilevel"/>
    <w:tmpl w:val="CD3E4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C73737"/>
    <w:multiLevelType w:val="multilevel"/>
    <w:tmpl w:val="FA845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F17AD6"/>
    <w:multiLevelType w:val="multilevel"/>
    <w:tmpl w:val="4776C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C34B7B"/>
    <w:multiLevelType w:val="multilevel"/>
    <w:tmpl w:val="E8407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C639BE"/>
    <w:multiLevelType w:val="multilevel"/>
    <w:tmpl w:val="D9FA0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47245DE"/>
    <w:multiLevelType w:val="multilevel"/>
    <w:tmpl w:val="323E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C2414D"/>
    <w:multiLevelType w:val="multilevel"/>
    <w:tmpl w:val="AFFCD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8A4768"/>
    <w:multiLevelType w:val="multilevel"/>
    <w:tmpl w:val="26E0C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17"/>
  </w:num>
  <w:num w:numId="12">
    <w:abstractNumId w:val="10"/>
  </w:num>
  <w:num w:numId="13">
    <w:abstractNumId w:val="16"/>
  </w:num>
  <w:num w:numId="14">
    <w:abstractNumId w:val="9"/>
  </w:num>
  <w:num w:numId="15">
    <w:abstractNumId w:val="15"/>
  </w:num>
  <w:num w:numId="16">
    <w:abstractNumId w:val="13"/>
  </w:num>
  <w:num w:numId="17">
    <w:abstractNumId w:val="12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668EF"/>
    <w:rsid w:val="0015074B"/>
    <w:rsid w:val="0017723C"/>
    <w:rsid w:val="001F4C12"/>
    <w:rsid w:val="002837FC"/>
    <w:rsid w:val="0029639D"/>
    <w:rsid w:val="00301EE4"/>
    <w:rsid w:val="00326F90"/>
    <w:rsid w:val="00385035"/>
    <w:rsid w:val="003A3FE2"/>
    <w:rsid w:val="0045229E"/>
    <w:rsid w:val="004E3F16"/>
    <w:rsid w:val="00574B7C"/>
    <w:rsid w:val="00610FDF"/>
    <w:rsid w:val="00715338"/>
    <w:rsid w:val="00745A21"/>
    <w:rsid w:val="007610FC"/>
    <w:rsid w:val="007667CC"/>
    <w:rsid w:val="007A4427"/>
    <w:rsid w:val="009043BB"/>
    <w:rsid w:val="00943C2B"/>
    <w:rsid w:val="00A36B04"/>
    <w:rsid w:val="00A556EA"/>
    <w:rsid w:val="00AA1D8D"/>
    <w:rsid w:val="00B0689B"/>
    <w:rsid w:val="00B4119E"/>
    <w:rsid w:val="00B46E98"/>
    <w:rsid w:val="00B47730"/>
    <w:rsid w:val="00CB0664"/>
    <w:rsid w:val="00CB4672"/>
    <w:rsid w:val="00DA44F4"/>
    <w:rsid w:val="00DC0349"/>
    <w:rsid w:val="00DF0B24"/>
    <w:rsid w:val="00E007BC"/>
    <w:rsid w:val="00FC693F"/>
    <w:rsid w:val="00FE0C68"/>
    <w:rsid w:val="00FE2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813350B"/>
  <w14:defaultImageDpi w14:val="300"/>
  <w15:docId w15:val="{37FBADB3-6038-4008-A42F-9F65984AD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FE0C68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FE0C68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FE0C68"/>
    <w:rPr>
      <w:color w:val="0000FF" w:themeColor="hyperlink"/>
      <w:u w:val="single"/>
    </w:rPr>
  </w:style>
  <w:style w:type="paragraph" w:styleId="aff9">
    <w:name w:val="Normal (Web)"/>
    <w:basedOn w:val="a1"/>
    <w:uiPriority w:val="99"/>
    <w:unhideWhenUsed/>
    <w:rsid w:val="00385035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10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04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0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1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9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5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7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76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hyperlink" Target="https://www.imf.org" TargetMode="External"/><Relationship Id="rId18" Type="http://schemas.openxmlformats.org/officeDocument/2006/relationships/hyperlink" Target="https://www.unido.org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data.worldbank.org" TargetMode="External"/><Relationship Id="rId17" Type="http://schemas.openxmlformats.org/officeDocument/2006/relationships/hyperlink" Target="https://ru.wikipedia.org/wiki/%D0%AD%D0%BA%D0%BE%D0%BD%D0%BE%D0%BC%D0%B8%D0%BA%D0%B0_%D0%98%D0%BD%D0%B4%D0%B8%D0%B8?utm_source=chatgpt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rbc.ru/industries/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4.xml"/><Relationship Id="rId5" Type="http://schemas.openxmlformats.org/officeDocument/2006/relationships/webSettings" Target="webSettings.xml"/><Relationship Id="rId15" Type="http://schemas.openxmlformats.org/officeDocument/2006/relationships/hyperlink" Target="https://www.india-briefing.com" TargetMode="External"/><Relationship Id="rId10" Type="http://schemas.openxmlformats.org/officeDocument/2006/relationships/chart" Target="charts/chart3.xml"/><Relationship Id="rId19" Type="http://schemas.openxmlformats.org/officeDocument/2006/relationships/hyperlink" Target="https://www.statista.com" TargetMode="External"/><Relationship Id="rId4" Type="http://schemas.openxmlformats.org/officeDocument/2006/relationships/settings" Target="settings.xml"/><Relationship Id="rId9" Type="http://schemas.openxmlformats.org/officeDocument/2006/relationships/chart" Target="charts/chart2.xml"/><Relationship Id="rId14" Type="http://schemas.openxmlformats.org/officeDocument/2006/relationships/hyperlink" Target="https://ilostat.ilo.org" TargetMode="External"/><Relationship Id="rId22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2.xml"/><Relationship Id="rId1" Type="http://schemas.microsoft.com/office/2011/relationships/chartStyle" Target="style2.xml"/><Relationship Id="rId4" Type="http://schemas.openxmlformats.org/officeDocument/2006/relationships/package" Target="../embeddings/_____Microsoft_Excel1.xlsx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2.xml"/><Relationship Id="rId2" Type="http://schemas.microsoft.com/office/2011/relationships/chartColorStyle" Target="colors3.xml"/><Relationship Id="rId1" Type="http://schemas.microsoft.com/office/2011/relationships/chartStyle" Target="style3.xml"/><Relationship Id="rId4" Type="http://schemas.openxmlformats.org/officeDocument/2006/relationships/package" Target="../embeddings/_____Microsoft_Excel2.xlsx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3.xml"/><Relationship Id="rId2" Type="http://schemas.microsoft.com/office/2011/relationships/chartColorStyle" Target="colors4.xml"/><Relationship Id="rId1" Type="http://schemas.microsoft.com/office/2011/relationships/chartStyle" Target="style4.xml"/><Relationship Id="rId4" Type="http://schemas.openxmlformats.org/officeDocument/2006/relationships/package" Target="../embeddings/_____Microsoft_Excel3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1"/>
    </mc:Choice>
    <mc:Fallback>
      <c:style val="1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500" b="1" i="0" u="none" strike="noStrike" kern="1200" cap="all" spc="100" normalizeH="0" baseline="0">
                <a:solidFill>
                  <a:schemeClr val="lt1"/>
                </a:solidFill>
                <a:latin typeface="+mn-lt"/>
                <a:ea typeface="+mn-ea"/>
                <a:cs typeface="+mn-cs"/>
              </a:defRPr>
            </a:pPr>
            <a:r>
              <a:rPr lang="ru-RU" sz="1400" cap="none" baseline="0">
                <a:solidFill>
                  <a:sysClr val="windowText" lastClr="000000"/>
                </a:solidFill>
                <a:latin typeface="Times New Roman" panose="02020603050405020304" pitchFamily="18" charset="0"/>
                <a:cs typeface="Times New Roman" panose="02020603050405020304" pitchFamily="18" charset="0"/>
              </a:rPr>
              <a:t>ВВП (номинал. в млрд. доллоров)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500" b="1" i="0" u="none" strike="noStrike" kern="1200" cap="all" spc="100" normalizeH="0" baseline="0">
              <a:solidFill>
                <a:schemeClr val="lt1"/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area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ВВП</c:v>
                </c:pt>
              </c:strCache>
            </c:strRef>
          </c:tx>
          <c:spPr>
            <a:pattFill prst="ltUpDiag">
              <a:fgClr>
                <a:schemeClr val="dk1">
                  <a:tint val="88500"/>
                </a:schemeClr>
              </a:fgClr>
              <a:bgClr>
                <a:schemeClr val="lt1"/>
              </a:bgClr>
            </a:pattFill>
            <a:ln w="15875">
              <a:solidFill>
                <a:schemeClr val="tx1"/>
              </a:solidFill>
            </a:ln>
            <a:effectLst/>
          </c:spPr>
          <c:cat>
            <c:numRef>
              <c:f>Лист1!$A$10:$A$46</c:f>
              <c:numCache>
                <c:formatCode>General</c:formatCode>
                <c:ptCount val="37"/>
                <c:pt idx="0">
                  <c:v>1988</c:v>
                </c:pt>
                <c:pt idx="1">
                  <c:v>1989</c:v>
                </c:pt>
                <c:pt idx="2">
                  <c:v>1990</c:v>
                </c:pt>
                <c:pt idx="3">
                  <c:v>1991</c:v>
                </c:pt>
                <c:pt idx="4">
                  <c:v>1992</c:v>
                </c:pt>
                <c:pt idx="5">
                  <c:v>1993</c:v>
                </c:pt>
                <c:pt idx="6">
                  <c:v>1994</c:v>
                </c:pt>
                <c:pt idx="7">
                  <c:v>1995</c:v>
                </c:pt>
                <c:pt idx="8">
                  <c:v>1996</c:v>
                </c:pt>
                <c:pt idx="9">
                  <c:v>1997</c:v>
                </c:pt>
                <c:pt idx="10">
                  <c:v>1998</c:v>
                </c:pt>
                <c:pt idx="11">
                  <c:v>1999</c:v>
                </c:pt>
                <c:pt idx="12">
                  <c:v>2000</c:v>
                </c:pt>
                <c:pt idx="13">
                  <c:v>2001</c:v>
                </c:pt>
                <c:pt idx="14">
                  <c:v>2002</c:v>
                </c:pt>
                <c:pt idx="15">
                  <c:v>2003</c:v>
                </c:pt>
                <c:pt idx="16">
                  <c:v>2004</c:v>
                </c:pt>
                <c:pt idx="17">
                  <c:v>2005</c:v>
                </c:pt>
                <c:pt idx="18">
                  <c:v>2006</c:v>
                </c:pt>
                <c:pt idx="19">
                  <c:v>2007</c:v>
                </c:pt>
                <c:pt idx="20">
                  <c:v>2008</c:v>
                </c:pt>
                <c:pt idx="21">
                  <c:v>2009</c:v>
                </c:pt>
                <c:pt idx="22">
                  <c:v>2010</c:v>
                </c:pt>
                <c:pt idx="23">
                  <c:v>2011</c:v>
                </c:pt>
                <c:pt idx="24">
                  <c:v>2012</c:v>
                </c:pt>
                <c:pt idx="25">
                  <c:v>2013</c:v>
                </c:pt>
                <c:pt idx="26">
                  <c:v>2014</c:v>
                </c:pt>
                <c:pt idx="27">
                  <c:v>2015</c:v>
                </c:pt>
                <c:pt idx="28">
                  <c:v>2016</c:v>
                </c:pt>
                <c:pt idx="29">
                  <c:v>2017</c:v>
                </c:pt>
                <c:pt idx="30">
                  <c:v>2018</c:v>
                </c:pt>
                <c:pt idx="31">
                  <c:v>2019</c:v>
                </c:pt>
                <c:pt idx="32">
                  <c:v>2020</c:v>
                </c:pt>
                <c:pt idx="33">
                  <c:v>2021</c:v>
                </c:pt>
                <c:pt idx="34">
                  <c:v>2022</c:v>
                </c:pt>
                <c:pt idx="35">
                  <c:v>2023</c:v>
                </c:pt>
                <c:pt idx="36">
                  <c:v>2024</c:v>
                </c:pt>
              </c:numCache>
            </c:numRef>
          </c:cat>
          <c:val>
            <c:numRef>
              <c:f>Лист1!$B$10:$B$46</c:f>
              <c:numCache>
                <c:formatCode>General</c:formatCode>
                <c:ptCount val="37"/>
                <c:pt idx="0" formatCode="0.00">
                  <c:v>294</c:v>
                </c:pt>
                <c:pt idx="1">
                  <c:v>296</c:v>
                </c:pt>
                <c:pt idx="2">
                  <c:v>321</c:v>
                </c:pt>
                <c:pt idx="3">
                  <c:v>270</c:v>
                </c:pt>
                <c:pt idx="4">
                  <c:v>288</c:v>
                </c:pt>
                <c:pt idx="5">
                  <c:v>279</c:v>
                </c:pt>
                <c:pt idx="6">
                  <c:v>327</c:v>
                </c:pt>
                <c:pt idx="7">
                  <c:v>360</c:v>
                </c:pt>
                <c:pt idx="8">
                  <c:v>393</c:v>
                </c:pt>
                <c:pt idx="9">
                  <c:v>416</c:v>
                </c:pt>
                <c:pt idx="10">
                  <c:v>421</c:v>
                </c:pt>
                <c:pt idx="11">
                  <c:v>459</c:v>
                </c:pt>
                <c:pt idx="12">
                  <c:v>468</c:v>
                </c:pt>
                <c:pt idx="13">
                  <c:v>485</c:v>
                </c:pt>
                <c:pt idx="14">
                  <c:v>515</c:v>
                </c:pt>
                <c:pt idx="15">
                  <c:v>608</c:v>
                </c:pt>
                <c:pt idx="16">
                  <c:v>709</c:v>
                </c:pt>
                <c:pt idx="17">
                  <c:v>820</c:v>
                </c:pt>
                <c:pt idx="18">
                  <c:v>940</c:v>
                </c:pt>
                <c:pt idx="19">
                  <c:v>1220</c:v>
                </c:pt>
                <c:pt idx="20">
                  <c:v>1200</c:v>
                </c:pt>
                <c:pt idx="21">
                  <c:v>1340</c:v>
                </c:pt>
                <c:pt idx="22">
                  <c:v>1680</c:v>
                </c:pt>
                <c:pt idx="23">
                  <c:v>1820</c:v>
                </c:pt>
                <c:pt idx="24">
                  <c:v>1830</c:v>
                </c:pt>
                <c:pt idx="25">
                  <c:v>1860</c:v>
                </c:pt>
                <c:pt idx="26">
                  <c:v>2040</c:v>
                </c:pt>
                <c:pt idx="27">
                  <c:v>2100</c:v>
                </c:pt>
                <c:pt idx="28">
                  <c:v>2290</c:v>
                </c:pt>
                <c:pt idx="29">
                  <c:v>2650</c:v>
                </c:pt>
                <c:pt idx="30">
                  <c:v>2700</c:v>
                </c:pt>
                <c:pt idx="31">
                  <c:v>2840</c:v>
                </c:pt>
                <c:pt idx="32">
                  <c:v>2670</c:v>
                </c:pt>
                <c:pt idx="33">
                  <c:v>3170</c:v>
                </c:pt>
                <c:pt idx="34">
                  <c:v>3350</c:v>
                </c:pt>
                <c:pt idx="35">
                  <c:v>3640</c:v>
                </c:pt>
                <c:pt idx="36">
                  <c:v>3910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F73-4BA9-9C64-D08A73E3650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dropLines>
          <c:spPr>
            <a:ln w="9525" cap="flat" cmpd="sng" algn="ctr">
              <a:solidFill>
                <a:schemeClr val="tx1"/>
              </a:solidFill>
              <a:round/>
            </a:ln>
            <a:effectLst/>
          </c:spPr>
        </c:dropLines>
        <c:axId val="428522688"/>
        <c:axId val="428525312"/>
      </c:areaChart>
      <c:catAx>
        <c:axId val="4285226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solidFill>
            <a:schemeClr val="bg1"/>
          </a:solidFill>
          <a:ln w="12700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spc="100" baseline="0">
                <a:ln>
                  <a:noFill/>
                </a:ln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28525312"/>
        <c:crosses val="autoZero"/>
        <c:auto val="1"/>
        <c:lblAlgn val="ctr"/>
        <c:lblOffset val="100"/>
        <c:noMultiLvlLbl val="0"/>
      </c:catAx>
      <c:valAx>
        <c:axId val="42852531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/>
              </a:solidFill>
              <a:round/>
            </a:ln>
            <a:effectLst/>
          </c:spPr>
        </c:majorGridlines>
        <c:numFmt formatCode="0.00" sourceLinked="1"/>
        <c:majorTickMark val="none"/>
        <c:minorTickMark val="none"/>
        <c:tickLblPos val="nextTo"/>
        <c:spPr>
          <a:solidFill>
            <a:schemeClr val="bg1"/>
          </a:solidFill>
          <a:ln w="9525"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28522688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bg1"/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1"/>
    </mc:Choice>
    <mc:Fallback>
      <c:style val="1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1500" b="1" i="0" u="none" strike="noStrike" kern="1200" cap="all" spc="100" normalizeH="0" baseline="0">
                <a:solidFill>
                  <a:schemeClr val="dk1"/>
                </a:solidFill>
                <a:latin typeface="+mn-lt"/>
                <a:ea typeface="+mn-ea"/>
                <a:cs typeface="+mn-cs"/>
              </a:defRPr>
            </a:pPr>
            <a:r>
              <a:rPr lang="ru-RU" sz="1400" cap="none" baseline="0">
                <a:solidFill>
                  <a:schemeClr val="dk1"/>
                </a:solidFill>
                <a:latin typeface="Times New Roman" panose="02020603050405020304" pitchFamily="18" charset="0"/>
                <a:cs typeface="Times New Roman" panose="02020603050405020304" pitchFamily="18" charset="0"/>
              </a:rPr>
              <a:t>Рост ВВП в %</a:t>
            </a:r>
            <a:endParaRPr lang="ru-RU" sz="1400">
              <a:solidFill>
                <a:schemeClr val="dk1"/>
              </a:solidFill>
              <a:latin typeface="Times New Roman" panose="02020603050405020304" pitchFamily="18" charset="0"/>
              <a:cs typeface="Times New Roman" panose="02020603050405020304" pitchFamily="18" charset="0"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500" b="1" i="0" u="none" strike="noStrike" kern="1200" cap="all" spc="100" normalizeH="0" baseline="0">
              <a:solidFill>
                <a:schemeClr val="dk1"/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area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Ряд 1</c:v>
                </c:pt>
              </c:strCache>
            </c:strRef>
          </c:tx>
          <c:spPr>
            <a:pattFill prst="ltUpDiag">
              <a:fgClr>
                <a:schemeClr val="dk1">
                  <a:tint val="88500"/>
                </a:schemeClr>
              </a:fgClr>
              <a:bgClr>
                <a:schemeClr val="lt1"/>
              </a:bgClr>
            </a:pattFill>
            <a:ln w="15875">
              <a:solidFill>
                <a:schemeClr val="tx1"/>
              </a:solidFill>
            </a:ln>
            <a:effectLst/>
          </c:spPr>
          <c:cat>
            <c:numRef>
              <c:f>Лист1!$A$2:$A$38</c:f>
              <c:numCache>
                <c:formatCode>General</c:formatCode>
                <c:ptCount val="37"/>
                <c:pt idx="0">
                  <c:v>1988</c:v>
                </c:pt>
                <c:pt idx="1">
                  <c:v>1989</c:v>
                </c:pt>
                <c:pt idx="2">
                  <c:v>1990</c:v>
                </c:pt>
                <c:pt idx="3">
                  <c:v>1991</c:v>
                </c:pt>
                <c:pt idx="4">
                  <c:v>1992</c:v>
                </c:pt>
                <c:pt idx="5">
                  <c:v>1993</c:v>
                </c:pt>
                <c:pt idx="6">
                  <c:v>1994</c:v>
                </c:pt>
                <c:pt idx="7">
                  <c:v>1995</c:v>
                </c:pt>
                <c:pt idx="8">
                  <c:v>1996</c:v>
                </c:pt>
                <c:pt idx="9">
                  <c:v>1997</c:v>
                </c:pt>
                <c:pt idx="10">
                  <c:v>1998</c:v>
                </c:pt>
                <c:pt idx="11">
                  <c:v>1999</c:v>
                </c:pt>
                <c:pt idx="12">
                  <c:v>2000</c:v>
                </c:pt>
                <c:pt idx="13">
                  <c:v>2001</c:v>
                </c:pt>
                <c:pt idx="14">
                  <c:v>2002</c:v>
                </c:pt>
                <c:pt idx="15">
                  <c:v>2003</c:v>
                </c:pt>
                <c:pt idx="16">
                  <c:v>2004</c:v>
                </c:pt>
                <c:pt idx="17">
                  <c:v>2005</c:v>
                </c:pt>
                <c:pt idx="18">
                  <c:v>2006</c:v>
                </c:pt>
                <c:pt idx="19">
                  <c:v>2007</c:v>
                </c:pt>
                <c:pt idx="20">
                  <c:v>2008</c:v>
                </c:pt>
                <c:pt idx="21">
                  <c:v>2009</c:v>
                </c:pt>
                <c:pt idx="22">
                  <c:v>2010</c:v>
                </c:pt>
                <c:pt idx="23">
                  <c:v>2011</c:v>
                </c:pt>
                <c:pt idx="24">
                  <c:v>2012</c:v>
                </c:pt>
                <c:pt idx="25">
                  <c:v>2013</c:v>
                </c:pt>
                <c:pt idx="26">
                  <c:v>2014</c:v>
                </c:pt>
                <c:pt idx="27">
                  <c:v>2015</c:v>
                </c:pt>
                <c:pt idx="28">
                  <c:v>2016</c:v>
                </c:pt>
                <c:pt idx="29">
                  <c:v>2017</c:v>
                </c:pt>
                <c:pt idx="30">
                  <c:v>2018</c:v>
                </c:pt>
                <c:pt idx="31">
                  <c:v>2019</c:v>
                </c:pt>
                <c:pt idx="32">
                  <c:v>2020</c:v>
                </c:pt>
                <c:pt idx="33">
                  <c:v>2021</c:v>
                </c:pt>
                <c:pt idx="34">
                  <c:v>2022</c:v>
                </c:pt>
                <c:pt idx="35">
                  <c:v>2023</c:v>
                </c:pt>
                <c:pt idx="36">
                  <c:v>2024</c:v>
                </c:pt>
              </c:numCache>
            </c:numRef>
          </c:cat>
          <c:val>
            <c:numRef>
              <c:f>Лист1!$B$2:$B$38</c:f>
              <c:numCache>
                <c:formatCode>0.0</c:formatCode>
                <c:ptCount val="37"/>
                <c:pt idx="0">
                  <c:v>9.6</c:v>
                </c:pt>
                <c:pt idx="1">
                  <c:v>5.9</c:v>
                </c:pt>
                <c:pt idx="2">
                  <c:v>5.5</c:v>
                </c:pt>
                <c:pt idx="3">
                  <c:v>1.1000000000000001</c:v>
                </c:pt>
                <c:pt idx="4">
                  <c:v>5.5</c:v>
                </c:pt>
                <c:pt idx="5">
                  <c:v>4.8</c:v>
                </c:pt>
                <c:pt idx="6">
                  <c:v>6.7</c:v>
                </c:pt>
                <c:pt idx="7">
                  <c:v>7.6</c:v>
                </c:pt>
                <c:pt idx="8">
                  <c:v>7.6</c:v>
                </c:pt>
                <c:pt idx="9">
                  <c:v>4.0999999999999996</c:v>
                </c:pt>
                <c:pt idx="10">
                  <c:v>6.2</c:v>
                </c:pt>
                <c:pt idx="11">
                  <c:v>8.5</c:v>
                </c:pt>
                <c:pt idx="12">
                  <c:v>4</c:v>
                </c:pt>
                <c:pt idx="13">
                  <c:v>4.9000000000000004</c:v>
                </c:pt>
                <c:pt idx="14">
                  <c:v>3.9</c:v>
                </c:pt>
                <c:pt idx="15">
                  <c:v>7.9</c:v>
                </c:pt>
                <c:pt idx="16">
                  <c:v>7.8</c:v>
                </c:pt>
                <c:pt idx="17">
                  <c:v>9.3000000000000007</c:v>
                </c:pt>
                <c:pt idx="18">
                  <c:v>9.3000000000000007</c:v>
                </c:pt>
                <c:pt idx="19">
                  <c:v>9.8000000000000007</c:v>
                </c:pt>
                <c:pt idx="20">
                  <c:v>3.9</c:v>
                </c:pt>
                <c:pt idx="21">
                  <c:v>8.5</c:v>
                </c:pt>
                <c:pt idx="22">
                  <c:v>10.3</c:v>
                </c:pt>
                <c:pt idx="23">
                  <c:v>6.6</c:v>
                </c:pt>
                <c:pt idx="24">
                  <c:v>5.5</c:v>
                </c:pt>
                <c:pt idx="25">
                  <c:v>6.4</c:v>
                </c:pt>
                <c:pt idx="26">
                  <c:v>7.4</c:v>
                </c:pt>
                <c:pt idx="27">
                  <c:v>8</c:v>
                </c:pt>
                <c:pt idx="28">
                  <c:v>8.3000000000000007</c:v>
                </c:pt>
                <c:pt idx="29">
                  <c:v>6.8</c:v>
                </c:pt>
                <c:pt idx="30">
                  <c:v>6.5</c:v>
                </c:pt>
                <c:pt idx="31">
                  <c:v>3.9</c:v>
                </c:pt>
                <c:pt idx="32">
                  <c:v>-5.8</c:v>
                </c:pt>
                <c:pt idx="33">
                  <c:v>9.6999999999999993</c:v>
                </c:pt>
                <c:pt idx="34">
                  <c:v>7.6</c:v>
                </c:pt>
                <c:pt idx="35">
                  <c:v>9.1999999999999993</c:v>
                </c:pt>
                <c:pt idx="36">
                  <c:v>6.5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F73-4BA9-9C64-D08A73E3650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dropLines>
          <c:spPr>
            <a:ln w="9525" cap="flat" cmpd="sng" algn="ctr">
              <a:solidFill>
                <a:schemeClr val="tx1"/>
              </a:solidFill>
              <a:round/>
            </a:ln>
            <a:effectLst/>
          </c:spPr>
        </c:dropLines>
        <c:axId val="428522688"/>
        <c:axId val="428525312"/>
      </c:areaChart>
      <c:catAx>
        <c:axId val="4285226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solidFill>
            <a:sysClr val="window" lastClr="FFFFFF"/>
          </a:solidFill>
          <a:ln w="12700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spc="100" baseline="0">
                <a:ln>
                  <a:noFill/>
                </a:ln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28525312"/>
        <c:crosses val="autoZero"/>
        <c:auto val="1"/>
        <c:lblAlgn val="ctr"/>
        <c:lblOffset val="100"/>
        <c:noMultiLvlLbl val="0"/>
      </c:catAx>
      <c:valAx>
        <c:axId val="42852531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/>
              </a:solidFill>
              <a:round/>
            </a:ln>
            <a:effectLst/>
          </c:spPr>
        </c:majorGridlines>
        <c:numFmt formatCode="0.0" sourceLinked="1"/>
        <c:majorTickMark val="none"/>
        <c:minorTickMark val="none"/>
        <c:tickLblPos val="nextTo"/>
        <c:spPr>
          <a:solidFill>
            <a:schemeClr val="bg1"/>
          </a:solidFill>
          <a:ln w="9525"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28522688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bg1"/>
      </a:solidFill>
      <a:round/>
    </a:ln>
    <a:effectLst/>
  </c:spPr>
  <c:txPr>
    <a:bodyPr/>
    <a:lstStyle/>
    <a:p>
      <a:pPr>
        <a:defRPr/>
      </a:pPr>
      <a:endParaRPr lang="ru-RU"/>
    </a:p>
  </c:txPr>
  <c:externalData r:id="rId4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1"/>
    </mc:Choice>
    <mc:Fallback>
      <c:style val="1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1500" b="1" i="0" u="none" strike="noStrike" kern="1200" cap="all" spc="100" normalizeH="0" baseline="0">
                <a:solidFill>
                  <a:schemeClr val="lt1"/>
                </a:solidFill>
                <a:latin typeface="+mn-lt"/>
                <a:ea typeface="+mn-ea"/>
                <a:cs typeface="+mn-cs"/>
              </a:defRPr>
            </a:pPr>
            <a:r>
              <a:rPr lang="ru-RU" sz="1400" cap="none" baseline="0">
                <a:solidFill>
                  <a:sysClr val="windowText" lastClr="000000"/>
                </a:solidFill>
                <a:latin typeface="Times New Roman" panose="02020603050405020304" pitchFamily="18" charset="0"/>
                <a:cs typeface="Times New Roman" panose="02020603050405020304" pitchFamily="18" charset="0"/>
              </a:rPr>
              <a:t>Процент безработицы от общего числа трудоспособного населения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500" b="1" i="0" u="none" strike="noStrike" kern="1200" cap="all" spc="100" normalizeH="0" baseline="0">
              <a:solidFill>
                <a:schemeClr val="lt1"/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area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Ряд 1</c:v>
                </c:pt>
              </c:strCache>
            </c:strRef>
          </c:tx>
          <c:spPr>
            <a:pattFill prst="ltUpDiag">
              <a:fgClr>
                <a:schemeClr val="dk1">
                  <a:tint val="88500"/>
                </a:schemeClr>
              </a:fgClr>
              <a:bgClr>
                <a:schemeClr val="lt1"/>
              </a:bgClr>
            </a:pattFill>
            <a:ln w="19050">
              <a:solidFill>
                <a:sysClr val="windowText" lastClr="000000"/>
              </a:solidFill>
            </a:ln>
            <a:effectLst/>
          </c:spPr>
          <c:cat>
            <c:numRef>
              <c:f>Лист1!$A$2:$A$35</c:f>
              <c:numCache>
                <c:formatCode>General</c:formatCode>
                <c:ptCount val="34"/>
                <c:pt idx="0">
                  <c:v>1991</c:v>
                </c:pt>
                <c:pt idx="1">
                  <c:v>1992</c:v>
                </c:pt>
                <c:pt idx="2">
                  <c:v>1993</c:v>
                </c:pt>
                <c:pt idx="3">
                  <c:v>1994</c:v>
                </c:pt>
                <c:pt idx="4">
                  <c:v>1995</c:v>
                </c:pt>
                <c:pt idx="5">
                  <c:v>1996</c:v>
                </c:pt>
                <c:pt idx="6">
                  <c:v>1997</c:v>
                </c:pt>
                <c:pt idx="7">
                  <c:v>1998</c:v>
                </c:pt>
                <c:pt idx="8">
                  <c:v>1999</c:v>
                </c:pt>
                <c:pt idx="9">
                  <c:v>2000</c:v>
                </c:pt>
                <c:pt idx="10">
                  <c:v>2001</c:v>
                </c:pt>
                <c:pt idx="11">
                  <c:v>2002</c:v>
                </c:pt>
                <c:pt idx="12">
                  <c:v>2003</c:v>
                </c:pt>
                <c:pt idx="13">
                  <c:v>2004</c:v>
                </c:pt>
                <c:pt idx="14">
                  <c:v>2005</c:v>
                </c:pt>
                <c:pt idx="15">
                  <c:v>2006</c:v>
                </c:pt>
                <c:pt idx="16">
                  <c:v>2007</c:v>
                </c:pt>
                <c:pt idx="17">
                  <c:v>2008</c:v>
                </c:pt>
                <c:pt idx="18">
                  <c:v>2009</c:v>
                </c:pt>
                <c:pt idx="19">
                  <c:v>2010</c:v>
                </c:pt>
                <c:pt idx="20">
                  <c:v>2011</c:v>
                </c:pt>
                <c:pt idx="21">
                  <c:v>2012</c:v>
                </c:pt>
                <c:pt idx="22">
                  <c:v>2013</c:v>
                </c:pt>
                <c:pt idx="23">
                  <c:v>2014</c:v>
                </c:pt>
                <c:pt idx="24">
                  <c:v>2015</c:v>
                </c:pt>
                <c:pt idx="25">
                  <c:v>2016</c:v>
                </c:pt>
                <c:pt idx="26">
                  <c:v>2017</c:v>
                </c:pt>
                <c:pt idx="27">
                  <c:v>2018</c:v>
                </c:pt>
                <c:pt idx="28">
                  <c:v>2019</c:v>
                </c:pt>
                <c:pt idx="29">
                  <c:v>2020</c:v>
                </c:pt>
                <c:pt idx="30">
                  <c:v>2021</c:v>
                </c:pt>
                <c:pt idx="31">
                  <c:v>2022</c:v>
                </c:pt>
                <c:pt idx="32">
                  <c:v>2023</c:v>
                </c:pt>
                <c:pt idx="33">
                  <c:v>2024</c:v>
                </c:pt>
              </c:numCache>
            </c:numRef>
          </c:cat>
          <c:val>
            <c:numRef>
              <c:f>Лист1!$B$2:$B$35</c:f>
              <c:numCache>
                <c:formatCode>General</c:formatCode>
                <c:ptCount val="34"/>
                <c:pt idx="0">
                  <c:v>7.7</c:v>
                </c:pt>
                <c:pt idx="1">
                  <c:v>7.7</c:v>
                </c:pt>
                <c:pt idx="2">
                  <c:v>7.8</c:v>
                </c:pt>
                <c:pt idx="3">
                  <c:v>7.6</c:v>
                </c:pt>
                <c:pt idx="4">
                  <c:v>7.6</c:v>
                </c:pt>
                <c:pt idx="5">
                  <c:v>7.6</c:v>
                </c:pt>
                <c:pt idx="6">
                  <c:v>7.6</c:v>
                </c:pt>
                <c:pt idx="7">
                  <c:v>7.6</c:v>
                </c:pt>
                <c:pt idx="8">
                  <c:v>7.6</c:v>
                </c:pt>
                <c:pt idx="9">
                  <c:v>7.6</c:v>
                </c:pt>
                <c:pt idx="10">
                  <c:v>7.7</c:v>
                </c:pt>
                <c:pt idx="11">
                  <c:v>7.8</c:v>
                </c:pt>
                <c:pt idx="12">
                  <c:v>7.7</c:v>
                </c:pt>
                <c:pt idx="13">
                  <c:v>7.6</c:v>
                </c:pt>
                <c:pt idx="14">
                  <c:v>7.6</c:v>
                </c:pt>
                <c:pt idx="15">
                  <c:v>7.6</c:v>
                </c:pt>
                <c:pt idx="16">
                  <c:v>7.6</c:v>
                </c:pt>
                <c:pt idx="17">
                  <c:v>7.7</c:v>
                </c:pt>
                <c:pt idx="18">
                  <c:v>7.7</c:v>
                </c:pt>
                <c:pt idx="19">
                  <c:v>7.7</c:v>
                </c:pt>
                <c:pt idx="20">
                  <c:v>7.6</c:v>
                </c:pt>
                <c:pt idx="21">
                  <c:v>7.7</c:v>
                </c:pt>
                <c:pt idx="22">
                  <c:v>7.7</c:v>
                </c:pt>
                <c:pt idx="23">
                  <c:v>7.7</c:v>
                </c:pt>
                <c:pt idx="24">
                  <c:v>7.6</c:v>
                </c:pt>
                <c:pt idx="25">
                  <c:v>7.6</c:v>
                </c:pt>
                <c:pt idx="26">
                  <c:v>7.6</c:v>
                </c:pt>
                <c:pt idx="27">
                  <c:v>7.7</c:v>
                </c:pt>
                <c:pt idx="28">
                  <c:v>6.5</c:v>
                </c:pt>
                <c:pt idx="29">
                  <c:v>7.9</c:v>
                </c:pt>
                <c:pt idx="30">
                  <c:v>6.4</c:v>
                </c:pt>
                <c:pt idx="31">
                  <c:v>4.8</c:v>
                </c:pt>
                <c:pt idx="32">
                  <c:v>4.2</c:v>
                </c:pt>
                <c:pt idx="33">
                  <c:v>4.2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F73-4BA9-9C64-D08A73E3650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dropLines>
          <c:spPr>
            <a:ln w="9525" cap="flat" cmpd="sng" algn="ctr">
              <a:solidFill>
                <a:schemeClr val="tx1"/>
              </a:solidFill>
              <a:round/>
            </a:ln>
            <a:effectLst/>
          </c:spPr>
        </c:dropLines>
        <c:axId val="428522688"/>
        <c:axId val="428525312"/>
      </c:areaChart>
      <c:catAx>
        <c:axId val="4285226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solidFill>
            <a:schemeClr val="bg1"/>
          </a:solidFill>
          <a:ln w="12700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spc="100" baseline="0">
                <a:ln>
                  <a:noFill/>
                </a:ln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28525312"/>
        <c:crosses val="autoZero"/>
        <c:auto val="1"/>
        <c:lblAlgn val="ctr"/>
        <c:lblOffset val="100"/>
        <c:noMultiLvlLbl val="0"/>
      </c:catAx>
      <c:valAx>
        <c:axId val="42852531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ysClr val="windowText" lastClr="000000"/>
              </a:solidFill>
              <a:round/>
            </a:ln>
            <a:effectLst/>
          </c:spPr>
        </c:majorGridlines>
        <c:minorGridlines>
          <c:spPr>
            <a:ln>
              <a:solidFill>
                <a:schemeClr val="lt1">
                  <a:alpha val="10000"/>
                </a:schemeClr>
              </a:solidFill>
            </a:ln>
            <a:effectLst/>
          </c:spPr>
        </c:minorGridlines>
        <c:numFmt formatCode="General" sourceLinked="1"/>
        <c:majorTickMark val="none"/>
        <c:minorTickMark val="none"/>
        <c:tickLblPos val="nextTo"/>
        <c:spPr>
          <a:solidFill>
            <a:schemeClr val="bg1"/>
          </a:solidFill>
          <a:ln w="9525"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28522688"/>
        <c:crosses val="autoZero"/>
        <c:crossBetween val="midCat"/>
      </c:valAx>
      <c:spPr>
        <a:solidFill>
          <a:schemeClr val="bg1"/>
        </a:solidFill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bg1"/>
      </a:solidFill>
      <a:round/>
    </a:ln>
    <a:effectLst/>
  </c:spPr>
  <c:txPr>
    <a:bodyPr/>
    <a:lstStyle/>
    <a:p>
      <a:pPr>
        <a:defRPr/>
      </a:pPr>
      <a:endParaRPr lang="ru-RU"/>
    </a:p>
  </c:txPr>
  <c:externalData r:id="rId4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1"/>
    </mc:Choice>
    <mc:Fallback>
      <c:style val="1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1500" b="1" i="0" u="none" strike="noStrike" kern="1200" cap="all" spc="100" normalizeH="0" baseline="0">
                <a:solidFill>
                  <a:schemeClr val="lt1"/>
                </a:solidFill>
                <a:latin typeface="+mn-lt"/>
                <a:ea typeface="+mn-ea"/>
                <a:cs typeface="+mn-cs"/>
              </a:defRPr>
            </a:pPr>
            <a:r>
              <a:rPr lang="ru-RU" sz="1400" cap="none">
                <a:solidFill>
                  <a:sysClr val="windowText" lastClr="000000"/>
                </a:solidFill>
                <a:latin typeface="Times New Roman" panose="02020603050405020304" pitchFamily="18" charset="0"/>
                <a:cs typeface="Times New Roman" panose="02020603050405020304" pitchFamily="18" charset="0"/>
              </a:rPr>
              <a:t>Инфляция</a:t>
            </a:r>
            <a:r>
              <a:rPr lang="ru-RU" sz="1400" cap="none" baseline="0">
                <a:solidFill>
                  <a:sysClr val="windowText" lastClr="000000"/>
                </a:solidFill>
                <a:latin typeface="Times New Roman" panose="02020603050405020304" pitchFamily="18" charset="0"/>
                <a:cs typeface="Times New Roman" panose="02020603050405020304" pitchFamily="18" charset="0"/>
              </a:rPr>
              <a:t> (в годовом исчеслении %)</a:t>
            </a:r>
            <a:endParaRPr lang="ru-RU" sz="1400" cap="none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500" b="1" i="0" u="none" strike="noStrike" kern="1200" cap="all" spc="100" normalizeH="0" baseline="0">
              <a:solidFill>
                <a:schemeClr val="lt1"/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area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Ряд 1</c:v>
                </c:pt>
              </c:strCache>
            </c:strRef>
          </c:tx>
          <c:spPr>
            <a:pattFill prst="ltUpDiag">
              <a:fgClr>
                <a:schemeClr val="dk1">
                  <a:tint val="88500"/>
                </a:schemeClr>
              </a:fgClr>
              <a:bgClr>
                <a:schemeClr val="lt1"/>
              </a:bgClr>
            </a:pattFill>
            <a:ln w="15875">
              <a:solidFill>
                <a:schemeClr val="tx1"/>
              </a:solidFill>
            </a:ln>
            <a:effectLst/>
          </c:spPr>
          <c:cat>
            <c:numRef>
              <c:f>Лист1!$A$2:$A$38</c:f>
              <c:numCache>
                <c:formatCode>General</c:formatCode>
                <c:ptCount val="37"/>
                <c:pt idx="0">
                  <c:v>1988</c:v>
                </c:pt>
                <c:pt idx="1">
                  <c:v>1989</c:v>
                </c:pt>
                <c:pt idx="2">
                  <c:v>1990</c:v>
                </c:pt>
                <c:pt idx="3">
                  <c:v>1991</c:v>
                </c:pt>
                <c:pt idx="4">
                  <c:v>1992</c:v>
                </c:pt>
                <c:pt idx="5">
                  <c:v>1993</c:v>
                </c:pt>
                <c:pt idx="6">
                  <c:v>1994</c:v>
                </c:pt>
                <c:pt idx="7">
                  <c:v>1995</c:v>
                </c:pt>
                <c:pt idx="8">
                  <c:v>1996</c:v>
                </c:pt>
                <c:pt idx="9">
                  <c:v>1997</c:v>
                </c:pt>
                <c:pt idx="10">
                  <c:v>1998</c:v>
                </c:pt>
                <c:pt idx="11">
                  <c:v>1999</c:v>
                </c:pt>
                <c:pt idx="12">
                  <c:v>2000</c:v>
                </c:pt>
                <c:pt idx="13">
                  <c:v>2001</c:v>
                </c:pt>
                <c:pt idx="14">
                  <c:v>2002</c:v>
                </c:pt>
                <c:pt idx="15">
                  <c:v>2003</c:v>
                </c:pt>
                <c:pt idx="16">
                  <c:v>2004</c:v>
                </c:pt>
                <c:pt idx="17">
                  <c:v>2005</c:v>
                </c:pt>
                <c:pt idx="18">
                  <c:v>2006</c:v>
                </c:pt>
                <c:pt idx="19">
                  <c:v>2007</c:v>
                </c:pt>
                <c:pt idx="20">
                  <c:v>2008</c:v>
                </c:pt>
                <c:pt idx="21">
                  <c:v>2009</c:v>
                </c:pt>
                <c:pt idx="22">
                  <c:v>2010</c:v>
                </c:pt>
                <c:pt idx="23">
                  <c:v>2011</c:v>
                </c:pt>
                <c:pt idx="24">
                  <c:v>2012</c:v>
                </c:pt>
                <c:pt idx="25">
                  <c:v>2013</c:v>
                </c:pt>
                <c:pt idx="26">
                  <c:v>2014</c:v>
                </c:pt>
                <c:pt idx="27">
                  <c:v>2015</c:v>
                </c:pt>
                <c:pt idx="28">
                  <c:v>2016</c:v>
                </c:pt>
                <c:pt idx="29">
                  <c:v>2017</c:v>
                </c:pt>
                <c:pt idx="30">
                  <c:v>2018</c:v>
                </c:pt>
                <c:pt idx="31">
                  <c:v>2019</c:v>
                </c:pt>
                <c:pt idx="32">
                  <c:v>2020</c:v>
                </c:pt>
                <c:pt idx="33">
                  <c:v>2021</c:v>
                </c:pt>
                <c:pt idx="34">
                  <c:v>2022</c:v>
                </c:pt>
                <c:pt idx="35">
                  <c:v>2023</c:v>
                </c:pt>
                <c:pt idx="36">
                  <c:v>2024</c:v>
                </c:pt>
              </c:numCache>
            </c:numRef>
          </c:cat>
          <c:val>
            <c:numRef>
              <c:f>Лист1!$B$2:$B$38</c:f>
              <c:numCache>
                <c:formatCode>General</c:formatCode>
                <c:ptCount val="37"/>
                <c:pt idx="0">
                  <c:v>9.4</c:v>
                </c:pt>
                <c:pt idx="1">
                  <c:v>7.1</c:v>
                </c:pt>
                <c:pt idx="2">
                  <c:v>9</c:v>
                </c:pt>
                <c:pt idx="3">
                  <c:v>13.9</c:v>
                </c:pt>
                <c:pt idx="4">
                  <c:v>11.8</c:v>
                </c:pt>
                <c:pt idx="5">
                  <c:v>6.3</c:v>
                </c:pt>
                <c:pt idx="6">
                  <c:v>10.199999999999999</c:v>
                </c:pt>
                <c:pt idx="7">
                  <c:v>10.199999999999999</c:v>
                </c:pt>
                <c:pt idx="8">
                  <c:v>9</c:v>
                </c:pt>
                <c:pt idx="9">
                  <c:v>7.2</c:v>
                </c:pt>
                <c:pt idx="10">
                  <c:v>13.2</c:v>
                </c:pt>
                <c:pt idx="11">
                  <c:v>4.7</c:v>
                </c:pt>
                <c:pt idx="12">
                  <c:v>4</c:v>
                </c:pt>
                <c:pt idx="13">
                  <c:v>3.8</c:v>
                </c:pt>
                <c:pt idx="14">
                  <c:v>4.3</c:v>
                </c:pt>
                <c:pt idx="15">
                  <c:v>3.8</c:v>
                </c:pt>
                <c:pt idx="16">
                  <c:v>3.8</c:v>
                </c:pt>
                <c:pt idx="17">
                  <c:v>4.2</c:v>
                </c:pt>
                <c:pt idx="18">
                  <c:v>5.8</c:v>
                </c:pt>
                <c:pt idx="19">
                  <c:v>6.4</c:v>
                </c:pt>
                <c:pt idx="20">
                  <c:v>8.3000000000000007</c:v>
                </c:pt>
                <c:pt idx="21">
                  <c:v>10.9</c:v>
                </c:pt>
                <c:pt idx="22">
                  <c:v>12</c:v>
                </c:pt>
                <c:pt idx="23">
                  <c:v>8.9</c:v>
                </c:pt>
                <c:pt idx="24">
                  <c:v>9.5</c:v>
                </c:pt>
                <c:pt idx="25">
                  <c:v>10</c:v>
                </c:pt>
                <c:pt idx="26">
                  <c:v>6.7</c:v>
                </c:pt>
                <c:pt idx="27">
                  <c:v>4.9000000000000004</c:v>
                </c:pt>
                <c:pt idx="28">
                  <c:v>4.9000000000000004</c:v>
                </c:pt>
                <c:pt idx="29">
                  <c:v>3.3</c:v>
                </c:pt>
                <c:pt idx="30">
                  <c:v>3.9</c:v>
                </c:pt>
                <c:pt idx="31">
                  <c:v>3.7</c:v>
                </c:pt>
                <c:pt idx="32">
                  <c:v>6.6</c:v>
                </c:pt>
                <c:pt idx="33">
                  <c:v>5.0999999999999996</c:v>
                </c:pt>
                <c:pt idx="34">
                  <c:v>6.7</c:v>
                </c:pt>
                <c:pt idx="35">
                  <c:v>5.6</c:v>
                </c:pt>
                <c:pt idx="36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F73-4BA9-9C64-D08A73E3650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dropLines>
          <c:spPr>
            <a:ln w="9525" cap="flat" cmpd="sng" algn="ctr">
              <a:solidFill>
                <a:schemeClr val="tx1"/>
              </a:solidFill>
              <a:round/>
            </a:ln>
            <a:effectLst/>
          </c:spPr>
        </c:dropLines>
        <c:axId val="428522688"/>
        <c:axId val="428525312"/>
      </c:areaChart>
      <c:catAx>
        <c:axId val="4285226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solidFill>
            <a:schemeClr val="bg1"/>
          </a:solidFill>
          <a:ln w="12700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spc="100" baseline="0">
                <a:ln>
                  <a:noFill/>
                </a:ln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28525312"/>
        <c:crosses val="autoZero"/>
        <c:auto val="1"/>
        <c:lblAlgn val="ctr"/>
        <c:lblOffset val="100"/>
        <c:noMultiLvlLbl val="0"/>
      </c:catAx>
      <c:valAx>
        <c:axId val="42852531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/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solidFill>
            <a:schemeClr val="bg1"/>
          </a:solidFill>
          <a:ln w="9525"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28522688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bg1"/>
      </a:solidFill>
      <a:round/>
    </a:ln>
    <a:effectLst/>
  </c:spPr>
  <c:txPr>
    <a:bodyPr/>
    <a:lstStyle/>
    <a:p>
      <a:pPr>
        <a:defRPr/>
      </a:pPr>
      <a:endParaRPr lang="ru-RU"/>
    </a:p>
  </c:txPr>
  <c:externalData r:id="rId4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20">
  <a:schemeClr val="dk1"/>
  <cs:variation>
    <a:tint val="88500"/>
  </cs:variation>
  <cs:variation>
    <a:tint val="55000"/>
  </cs:variation>
  <cs:variation>
    <a:tint val="75000"/>
  </cs:variation>
  <cs:variation>
    <a:tint val="98500"/>
  </cs:variation>
  <cs:variation>
    <a:tint val="30000"/>
  </cs:variation>
  <cs:variation>
    <a:tint val="60000"/>
  </cs:variation>
  <cs:variation>
    <a:tint val="8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20">
  <a:schemeClr val="dk1"/>
  <cs:variation>
    <a:tint val="88500"/>
  </cs:variation>
  <cs:variation>
    <a:tint val="55000"/>
  </cs:variation>
  <cs:variation>
    <a:tint val="75000"/>
  </cs:variation>
  <cs:variation>
    <a:tint val="98500"/>
  </cs:variation>
  <cs:variation>
    <a:tint val="30000"/>
  </cs:variation>
  <cs:variation>
    <a:tint val="60000"/>
  </cs:variation>
  <cs:variation>
    <a:tint val="8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20">
  <a:schemeClr val="dk1"/>
  <cs:variation>
    <a:tint val="88500"/>
  </cs:variation>
  <cs:variation>
    <a:tint val="55000"/>
  </cs:variation>
  <cs:variation>
    <a:tint val="75000"/>
  </cs:variation>
  <cs:variation>
    <a:tint val="98500"/>
  </cs:variation>
  <cs:variation>
    <a:tint val="30000"/>
  </cs:variation>
  <cs:variation>
    <a:tint val="60000"/>
  </cs:variation>
  <cs:variation>
    <a:tint val="8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20">
  <a:schemeClr val="dk1"/>
  <cs:variation>
    <a:tint val="88500"/>
  </cs:variation>
  <cs:variation>
    <a:tint val="55000"/>
  </cs:variation>
  <cs:variation>
    <a:tint val="75000"/>
  </cs:variation>
  <cs:variation>
    <a:tint val="98500"/>
  </cs:variation>
  <cs:variation>
    <a:tint val="30000"/>
  </cs:variation>
  <cs:variation>
    <a:tint val="60000"/>
  </cs:variation>
  <cs:variation>
    <a:tint val="8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9">
  <cs:axisTitle>
    <cs:lnRef idx="0"/>
    <cs:fillRef idx="0"/>
    <cs:effectRef idx="0"/>
    <cs:fontRef idx="minor">
      <a:schemeClr val="lt1"/>
    </cs:fontRef>
    <cs:defRPr sz="900" b="1" kern="1200"/>
  </cs:axisTitle>
  <cs:categoryAxis>
    <cs:lnRef idx="0">
      <cs:styleClr val="0"/>
    </cs:lnRef>
    <cs:fillRef idx="0"/>
    <cs:effectRef idx="0"/>
    <cs:fontRef idx="minor">
      <a:schemeClr val="lt1"/>
    </cs:fontRef>
    <cs:spPr>
      <a:ln w="12700" cap="flat" cmpd="sng" algn="ctr">
        <a:solidFill>
          <a:schemeClr val="lt1"/>
        </a:solidFill>
        <a:round/>
      </a:ln>
    </cs:spPr>
    <cs:defRPr sz="900" kern="1200" spc="100" baseline="0"/>
  </cs:categoryAxis>
  <cs:chartArea>
    <cs:lnRef idx="0">
      <cs:styleClr val="0"/>
    </cs:lnRef>
    <cs:fillRef idx="0">
      <cs:styleClr val="0"/>
    </cs:fillRef>
    <cs:effectRef idx="0"/>
    <cs:fontRef idx="minor">
      <a:schemeClr val="dk1"/>
    </cs:fontRef>
    <cs:spPr>
      <a:solidFill>
        <a:schemeClr val="phClr"/>
      </a:solidFill>
      <a:ln w="9525" cap="flat" cmpd="sng" algn="ctr">
        <a:solidFill>
          <a:schemeClr val="phClr"/>
        </a:solidFill>
        <a:round/>
      </a:ln>
    </cs:spPr>
    <cs:defRPr sz="1000" kern="1200"/>
  </cs:chartArea>
  <cs:dataLabel>
    <cs:lnRef idx="0"/>
    <cs:fillRef idx="0"/>
    <cs:effectRef idx="0"/>
    <cs:fontRef idx="minor">
      <a:schemeClr val="lt1"/>
    </cs:fontRef>
    <cs:defRPr sz="900" b="1" kern="1200"/>
  </cs:dataLabel>
  <cs:dataLabelCallout>
    <cs:lnRef idx="0">
      <cs:styleClr val="auto"/>
    </cs:lnRef>
    <cs:fillRef idx="0"/>
    <cs:effectRef idx="0"/>
    <cs:fontRef idx="minor">
      <cs:styleClr val="auto"/>
    </cs:fontRef>
    <cs:spPr>
      <a:solidFill>
        <a:schemeClr val="lt1"/>
      </a:solidFill>
      <a:ln>
        <a:solidFill>
          <a:schemeClr val="phClr"/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pattFill prst="ltUpDiag">
        <a:fgClr>
          <a:schemeClr val="phClr"/>
        </a:fgClr>
        <a:bgClr>
          <a:schemeClr val="lt1"/>
        </a:bgClr>
      </a:patt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pattFill prst="ltUpDiag">
        <a:fgClr>
          <a:schemeClr val="phClr"/>
        </a:fgClr>
        <a:bgClr>
          <a:schemeClr val="lt1"/>
        </a:bgClr>
      </a:pattFill>
    </cs:spPr>
  </cs:dataPoint3D>
  <cs:dataPointLine>
    <cs:lnRef idx="0">
      <cs:styleClr val="auto"/>
    </cs:lnRef>
    <cs:fillRef idx="0"/>
    <cs:effectRef idx="0">
      <cs:styleClr val="auto"/>
    </cs:effectRef>
    <cs:fontRef idx="minor">
      <a:schemeClr val="dk1"/>
    </cs:fontRef>
    <cs:spPr>
      <a:ln w="34925" cap="rnd">
        <a:solidFill>
          <a:schemeClr val="lt1"/>
        </a:solidFill>
        <a:round/>
      </a:ln>
      <a:effectLst>
        <a:outerShdw dist="25400" dir="2700000" algn="tl" rotWithShape="0">
          <a:schemeClr val="phClr"/>
        </a:outerShdw>
      </a:effectLst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22225">
        <a:solidFill>
          <a:schemeClr val="lt1"/>
        </a:solidFill>
        <a:round/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>
      <cs:styleClr val="0"/>
    </cs:lnRef>
    <cs:fillRef idx="0"/>
    <cs:effectRef idx="0"/>
    <cs:fontRef idx="minor">
      <a:schemeClr val="lt1"/>
    </cs:fontRef>
    <cs:spPr>
      <a:ln w="9525">
        <a:solidFill>
          <a:schemeClr val="phClr">
            <a:lumMod val="60000"/>
            <a:lumOff val="40000"/>
          </a:schemeClr>
        </a:solidFill>
      </a:ln>
    </cs:spPr>
    <cs:defRPr sz="900" kern="1200"/>
  </cs:dataTable>
  <cs:downBar>
    <cs:lnRef idx="0">
      <cs:styleClr val="0"/>
    </cs:lnRef>
    <cs:fillRef idx="0"/>
    <cs:effectRef idx="0"/>
    <cs:fontRef idx="minor">
      <a:schemeClr val="dk1"/>
    </cs:fontRef>
    <cs:spPr>
      <a:solidFill>
        <a:schemeClr val="dk1">
          <a:lumMod val="35000"/>
          <a:lumOff val="65000"/>
        </a:schemeClr>
      </a:solidFill>
      <a:ln w="9525">
        <a:solidFill>
          <a:schemeClr val="phClr">
            <a:lumMod val="60000"/>
            <a:lumOff val="4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0">
              <a:schemeClr val="lt1"/>
            </a:gs>
            <a:gs pos="100000">
              <a:schemeClr val="lt1">
                <a:alpha val="0"/>
              </a:schemeClr>
            </a:gs>
          </a:gsLst>
          <a:lin ang="5400000" scaled="0"/>
        </a:gradFill>
        <a:round/>
      </a:ln>
    </cs:spPr>
  </cs:dropLine>
  <cs:errorBar>
    <cs:lnRef idx="0">
      <cs:styleClr val="0"/>
    </cs:lnRef>
    <cs:fillRef idx="0"/>
    <cs:effectRef idx="0"/>
    <cs:fontRef idx="minor">
      <a:schemeClr val="dk1"/>
    </cs:fontRef>
    <cs:spPr>
      <a:ln w="9525">
        <a:solidFill>
          <a:schemeClr val="phClr">
            <a:lumMod val="60000"/>
            <a:lumOff val="40000"/>
          </a:schemeClr>
        </a:solidFill>
        <a:round/>
      </a:ln>
      <a:effectLst>
        <a:glow rad="25400">
          <a:schemeClr val="lt1"/>
        </a:glow>
      </a:effectLst>
    </cs:spPr>
  </cs:errorBar>
  <cs:floor>
    <cs:lnRef idx="0"/>
    <cs:fillRef idx="0"/>
    <cs:effectRef idx="0"/>
    <cs:fontRef idx="minor">
      <a:schemeClr val="dk1"/>
    </cs:fontRef>
  </cs:floor>
  <cs:gridlineMajor>
    <cs:lnRef idx="0">
      <cs:styleClr val="0"/>
    </cs:lnRef>
    <cs:fillRef idx="0"/>
    <cs:effectRef idx="0"/>
    <cs:fontRef idx="minor">
      <a:schemeClr val="dk1"/>
    </cs:fontRef>
    <cs:spPr>
      <a:ln w="9525" cap="flat" cmpd="sng" algn="ctr">
        <a:solidFill>
          <a:schemeClr val="lt1">
            <a:alpha val="25000"/>
          </a:schemeClr>
        </a:solidFill>
        <a:round/>
      </a:ln>
    </cs:spPr>
  </cs:gridlineMajor>
  <cs:gridlineMinor>
    <cs:lnRef idx="0">
      <cs:styleClr val="0"/>
    </cs:lnRef>
    <cs:fillRef idx="0"/>
    <cs:effectRef idx="0"/>
    <cs:fontRef idx="minor">
      <a:schemeClr val="dk1"/>
    </cs:fontRef>
    <cs:spPr>
      <a:ln>
        <a:solidFill>
          <a:schemeClr val="lt1">
            <a:alpha val="10000"/>
          </a:schemeClr>
        </a:solidFill>
      </a:ln>
    </cs:spPr>
  </cs:gridlineMinor>
  <cs:hiLoLine>
    <cs:lnRef idx="0">
      <cs:styleClr val="0"/>
    </cs:lnRef>
    <cs:fillRef idx="0"/>
    <cs:effectRef idx="0"/>
    <cs:fontRef idx="minor">
      <a:schemeClr val="dk1"/>
    </cs:fontRef>
    <cs:spPr>
      <a:ln w="9525">
        <a:solidFill>
          <a:schemeClr val="phClr">
            <a:lumMod val="60000"/>
            <a:lumOff val="40000"/>
          </a:schemeClr>
        </a:solidFill>
        <a:prstDash val="dash"/>
      </a:ln>
    </cs:spPr>
  </cs:hiLoLine>
  <cs:leaderLine>
    <cs:lnRef idx="0">
      <cs:styleClr val="0"/>
    </cs:lnRef>
    <cs:fillRef idx="0"/>
    <cs:effectRef idx="0"/>
    <cs:fontRef idx="minor">
      <a:schemeClr val="dk1"/>
    </cs:fontRef>
    <cs:spPr>
      <a:ln w="9525">
        <a:solidFill>
          <a:schemeClr val="phClr">
            <a:lumMod val="60000"/>
            <a:lumOff val="40000"/>
          </a:schemeClr>
        </a:solidFill>
      </a:ln>
    </cs:spPr>
  </cs:leaderLine>
  <cs:legend>
    <cs:lnRef idx="0"/>
    <cs:fillRef idx="0"/>
    <cs:effectRef idx="0"/>
    <cs:fontRef idx="minor">
      <a:schemeClr val="lt1"/>
    </cs:fontRef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>
      <cs:styleClr val="0"/>
    </cs:lnRef>
    <cs:fillRef idx="0"/>
    <cs:effectRef idx="0"/>
    <cs:fontRef idx="minor">
      <a:schemeClr val="lt1"/>
    </cs:fontRef>
    <cs:spPr>
      <a:ln w="3175" cap="flat" cmpd="sng" algn="ctr">
        <a:solidFill>
          <a:schemeClr val="phClr">
            <a:lumMod val="60000"/>
            <a:lumOff val="40000"/>
          </a:schemeClr>
        </a:solidFill>
        <a:round/>
      </a:ln>
    </cs:spPr>
    <cs:defRPr sz="900" kern="1200"/>
  </cs:seriesAxis>
  <cs:seriesLine>
    <cs:lnRef idx="0">
      <cs:styleClr val="0"/>
    </cs:lnRef>
    <cs:fillRef idx="0"/>
    <cs:effectRef idx="0"/>
    <cs:fontRef idx="minor">
      <a:schemeClr val="dk1"/>
    </cs:fontRef>
    <cs:spPr>
      <a:ln w="9525">
        <a:solidFill>
          <a:schemeClr val="phClr">
            <a:lumMod val="60000"/>
            <a:lumOff val="40000"/>
            <a:tint val="50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lt1"/>
    </cs:fontRef>
    <cs:defRPr sz="1500" b="1" kern="1200" cap="all" spc="100" normalizeH="0" baseline="0"/>
  </cs:title>
  <cs:trendline>
    <cs:lnRef idx="0"/>
    <cs:fillRef idx="0"/>
    <cs:effectRef idx="0"/>
    <cs:fontRef idx="minor">
      <a:schemeClr val="dk1"/>
    </cs:fontRef>
    <cs:spPr>
      <a:ln w="28575" cap="rnd">
        <a:solidFill>
          <a:schemeClr val="lt1">
            <a:alpha val="50000"/>
          </a:schemeClr>
        </a:solidFill>
        <a:round/>
      </a:ln>
    </cs:spPr>
  </cs:trendline>
  <cs:trendlineLabel>
    <cs:lnRef idx="0"/>
    <cs:fillRef idx="0"/>
    <cs:effectRef idx="0"/>
    <cs:fontRef idx="minor">
      <a:schemeClr val="lt1"/>
    </cs:fontRef>
    <cs:defRPr sz="900" kern="1200"/>
  </cs:trendlineLabel>
  <cs:upBar>
    <cs:lnRef idx="0">
      <cs:styleClr val="0"/>
    </cs:lnRef>
    <cs:fillRef idx="0"/>
    <cs:effectRef idx="0"/>
    <cs:fontRef idx="minor">
      <a:schemeClr val="dk1"/>
    </cs:fontRef>
    <cs:spPr>
      <a:solidFill>
        <a:schemeClr val="lt1">
          <a:lumMod val="95000"/>
        </a:schemeClr>
      </a:solidFill>
      <a:ln w="9525">
        <a:solidFill>
          <a:schemeClr val="phClr">
            <a:lumMod val="60000"/>
            <a:lumOff val="40000"/>
          </a:schemeClr>
        </a:solidFill>
      </a:ln>
    </cs:spPr>
  </cs:upBar>
  <cs:valueAxis>
    <cs:lnRef idx="0"/>
    <cs:fillRef idx="0"/>
    <cs:effectRef idx="0"/>
    <cs:fontRef idx="minor">
      <a:schemeClr val="lt1"/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29">
  <cs:axisTitle>
    <cs:lnRef idx="0"/>
    <cs:fillRef idx="0"/>
    <cs:effectRef idx="0"/>
    <cs:fontRef idx="minor">
      <a:schemeClr val="lt1"/>
    </cs:fontRef>
    <cs:defRPr sz="900" b="1" kern="1200"/>
  </cs:axisTitle>
  <cs:categoryAxis>
    <cs:lnRef idx="0">
      <cs:styleClr val="0"/>
    </cs:lnRef>
    <cs:fillRef idx="0"/>
    <cs:effectRef idx="0"/>
    <cs:fontRef idx="minor">
      <a:schemeClr val="lt1"/>
    </cs:fontRef>
    <cs:spPr>
      <a:ln w="12700" cap="flat" cmpd="sng" algn="ctr">
        <a:solidFill>
          <a:schemeClr val="lt1"/>
        </a:solidFill>
        <a:round/>
      </a:ln>
    </cs:spPr>
    <cs:defRPr sz="900" kern="1200" spc="100" baseline="0"/>
  </cs:categoryAxis>
  <cs:chartArea>
    <cs:lnRef idx="0">
      <cs:styleClr val="0"/>
    </cs:lnRef>
    <cs:fillRef idx="0">
      <cs:styleClr val="0"/>
    </cs:fillRef>
    <cs:effectRef idx="0"/>
    <cs:fontRef idx="minor">
      <a:schemeClr val="dk1"/>
    </cs:fontRef>
    <cs:spPr>
      <a:solidFill>
        <a:schemeClr val="phClr"/>
      </a:solidFill>
      <a:ln w="9525" cap="flat" cmpd="sng" algn="ctr">
        <a:solidFill>
          <a:schemeClr val="phClr"/>
        </a:solidFill>
        <a:round/>
      </a:ln>
    </cs:spPr>
    <cs:defRPr sz="1000" kern="1200"/>
  </cs:chartArea>
  <cs:dataLabel>
    <cs:lnRef idx="0"/>
    <cs:fillRef idx="0"/>
    <cs:effectRef idx="0"/>
    <cs:fontRef idx="minor">
      <a:schemeClr val="lt1"/>
    </cs:fontRef>
    <cs:defRPr sz="900" b="1" kern="1200"/>
  </cs:dataLabel>
  <cs:dataLabelCallout>
    <cs:lnRef idx="0">
      <cs:styleClr val="auto"/>
    </cs:lnRef>
    <cs:fillRef idx="0"/>
    <cs:effectRef idx="0"/>
    <cs:fontRef idx="minor">
      <cs:styleClr val="auto"/>
    </cs:fontRef>
    <cs:spPr>
      <a:solidFill>
        <a:schemeClr val="lt1"/>
      </a:solidFill>
      <a:ln>
        <a:solidFill>
          <a:schemeClr val="phClr"/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pattFill prst="ltUpDiag">
        <a:fgClr>
          <a:schemeClr val="phClr"/>
        </a:fgClr>
        <a:bgClr>
          <a:schemeClr val="lt1"/>
        </a:bgClr>
      </a:patt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pattFill prst="ltUpDiag">
        <a:fgClr>
          <a:schemeClr val="phClr"/>
        </a:fgClr>
        <a:bgClr>
          <a:schemeClr val="lt1"/>
        </a:bgClr>
      </a:pattFill>
    </cs:spPr>
  </cs:dataPoint3D>
  <cs:dataPointLine>
    <cs:lnRef idx="0">
      <cs:styleClr val="auto"/>
    </cs:lnRef>
    <cs:fillRef idx="0"/>
    <cs:effectRef idx="0">
      <cs:styleClr val="auto"/>
    </cs:effectRef>
    <cs:fontRef idx="minor">
      <a:schemeClr val="dk1"/>
    </cs:fontRef>
    <cs:spPr>
      <a:ln w="34925" cap="rnd">
        <a:solidFill>
          <a:schemeClr val="lt1"/>
        </a:solidFill>
        <a:round/>
      </a:ln>
      <a:effectLst>
        <a:outerShdw dist="25400" dir="2700000" algn="tl" rotWithShape="0">
          <a:schemeClr val="phClr"/>
        </a:outerShdw>
      </a:effectLst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22225">
        <a:solidFill>
          <a:schemeClr val="lt1"/>
        </a:solidFill>
        <a:round/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>
      <cs:styleClr val="0"/>
    </cs:lnRef>
    <cs:fillRef idx="0"/>
    <cs:effectRef idx="0"/>
    <cs:fontRef idx="minor">
      <a:schemeClr val="lt1"/>
    </cs:fontRef>
    <cs:spPr>
      <a:ln w="9525">
        <a:solidFill>
          <a:schemeClr val="phClr">
            <a:lumMod val="60000"/>
            <a:lumOff val="40000"/>
          </a:schemeClr>
        </a:solidFill>
      </a:ln>
    </cs:spPr>
    <cs:defRPr sz="900" kern="1200"/>
  </cs:dataTable>
  <cs:downBar>
    <cs:lnRef idx="0">
      <cs:styleClr val="0"/>
    </cs:lnRef>
    <cs:fillRef idx="0"/>
    <cs:effectRef idx="0"/>
    <cs:fontRef idx="minor">
      <a:schemeClr val="dk1"/>
    </cs:fontRef>
    <cs:spPr>
      <a:solidFill>
        <a:schemeClr val="dk1">
          <a:lumMod val="35000"/>
          <a:lumOff val="65000"/>
        </a:schemeClr>
      </a:solidFill>
      <a:ln w="9525">
        <a:solidFill>
          <a:schemeClr val="phClr">
            <a:lumMod val="60000"/>
            <a:lumOff val="4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0">
              <a:schemeClr val="lt1"/>
            </a:gs>
            <a:gs pos="100000">
              <a:schemeClr val="lt1">
                <a:alpha val="0"/>
              </a:schemeClr>
            </a:gs>
          </a:gsLst>
          <a:lin ang="5400000" scaled="0"/>
        </a:gradFill>
        <a:round/>
      </a:ln>
    </cs:spPr>
  </cs:dropLine>
  <cs:errorBar>
    <cs:lnRef idx="0">
      <cs:styleClr val="0"/>
    </cs:lnRef>
    <cs:fillRef idx="0"/>
    <cs:effectRef idx="0"/>
    <cs:fontRef idx="minor">
      <a:schemeClr val="dk1"/>
    </cs:fontRef>
    <cs:spPr>
      <a:ln w="9525">
        <a:solidFill>
          <a:schemeClr val="phClr">
            <a:lumMod val="60000"/>
            <a:lumOff val="40000"/>
          </a:schemeClr>
        </a:solidFill>
        <a:round/>
      </a:ln>
      <a:effectLst>
        <a:glow rad="25400">
          <a:schemeClr val="lt1"/>
        </a:glow>
      </a:effectLst>
    </cs:spPr>
  </cs:errorBar>
  <cs:floor>
    <cs:lnRef idx="0"/>
    <cs:fillRef idx="0"/>
    <cs:effectRef idx="0"/>
    <cs:fontRef idx="minor">
      <a:schemeClr val="dk1"/>
    </cs:fontRef>
  </cs:floor>
  <cs:gridlineMajor>
    <cs:lnRef idx="0">
      <cs:styleClr val="0"/>
    </cs:lnRef>
    <cs:fillRef idx="0"/>
    <cs:effectRef idx="0"/>
    <cs:fontRef idx="minor">
      <a:schemeClr val="dk1"/>
    </cs:fontRef>
    <cs:spPr>
      <a:ln w="9525" cap="flat" cmpd="sng" algn="ctr">
        <a:solidFill>
          <a:schemeClr val="lt1">
            <a:alpha val="25000"/>
          </a:schemeClr>
        </a:solidFill>
        <a:round/>
      </a:ln>
    </cs:spPr>
  </cs:gridlineMajor>
  <cs:gridlineMinor>
    <cs:lnRef idx="0">
      <cs:styleClr val="0"/>
    </cs:lnRef>
    <cs:fillRef idx="0"/>
    <cs:effectRef idx="0"/>
    <cs:fontRef idx="minor">
      <a:schemeClr val="dk1"/>
    </cs:fontRef>
    <cs:spPr>
      <a:ln>
        <a:solidFill>
          <a:schemeClr val="lt1">
            <a:alpha val="10000"/>
          </a:schemeClr>
        </a:solidFill>
      </a:ln>
    </cs:spPr>
  </cs:gridlineMinor>
  <cs:hiLoLine>
    <cs:lnRef idx="0">
      <cs:styleClr val="0"/>
    </cs:lnRef>
    <cs:fillRef idx="0"/>
    <cs:effectRef idx="0"/>
    <cs:fontRef idx="minor">
      <a:schemeClr val="dk1"/>
    </cs:fontRef>
    <cs:spPr>
      <a:ln w="9525">
        <a:solidFill>
          <a:schemeClr val="phClr">
            <a:lumMod val="60000"/>
            <a:lumOff val="40000"/>
          </a:schemeClr>
        </a:solidFill>
        <a:prstDash val="dash"/>
      </a:ln>
    </cs:spPr>
  </cs:hiLoLine>
  <cs:leaderLine>
    <cs:lnRef idx="0">
      <cs:styleClr val="0"/>
    </cs:lnRef>
    <cs:fillRef idx="0"/>
    <cs:effectRef idx="0"/>
    <cs:fontRef idx="minor">
      <a:schemeClr val="dk1"/>
    </cs:fontRef>
    <cs:spPr>
      <a:ln w="9525">
        <a:solidFill>
          <a:schemeClr val="phClr">
            <a:lumMod val="60000"/>
            <a:lumOff val="40000"/>
          </a:schemeClr>
        </a:solidFill>
      </a:ln>
    </cs:spPr>
  </cs:leaderLine>
  <cs:legend>
    <cs:lnRef idx="0"/>
    <cs:fillRef idx="0"/>
    <cs:effectRef idx="0"/>
    <cs:fontRef idx="minor">
      <a:schemeClr val="lt1"/>
    </cs:fontRef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>
      <cs:styleClr val="0"/>
    </cs:lnRef>
    <cs:fillRef idx="0"/>
    <cs:effectRef idx="0"/>
    <cs:fontRef idx="minor">
      <a:schemeClr val="lt1"/>
    </cs:fontRef>
    <cs:spPr>
      <a:ln w="3175" cap="flat" cmpd="sng" algn="ctr">
        <a:solidFill>
          <a:schemeClr val="phClr">
            <a:lumMod val="60000"/>
            <a:lumOff val="40000"/>
          </a:schemeClr>
        </a:solidFill>
        <a:round/>
      </a:ln>
    </cs:spPr>
    <cs:defRPr sz="900" kern="1200"/>
  </cs:seriesAxis>
  <cs:seriesLine>
    <cs:lnRef idx="0">
      <cs:styleClr val="0"/>
    </cs:lnRef>
    <cs:fillRef idx="0"/>
    <cs:effectRef idx="0"/>
    <cs:fontRef idx="minor">
      <a:schemeClr val="dk1"/>
    </cs:fontRef>
    <cs:spPr>
      <a:ln w="9525">
        <a:solidFill>
          <a:schemeClr val="phClr">
            <a:lumMod val="60000"/>
            <a:lumOff val="40000"/>
            <a:tint val="50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lt1"/>
    </cs:fontRef>
    <cs:defRPr sz="1500" b="1" kern="1200" cap="all" spc="100" normalizeH="0" baseline="0"/>
  </cs:title>
  <cs:trendline>
    <cs:lnRef idx="0"/>
    <cs:fillRef idx="0"/>
    <cs:effectRef idx="0"/>
    <cs:fontRef idx="minor">
      <a:schemeClr val="dk1"/>
    </cs:fontRef>
    <cs:spPr>
      <a:ln w="28575" cap="rnd">
        <a:solidFill>
          <a:schemeClr val="lt1">
            <a:alpha val="50000"/>
          </a:schemeClr>
        </a:solidFill>
        <a:round/>
      </a:ln>
    </cs:spPr>
  </cs:trendline>
  <cs:trendlineLabel>
    <cs:lnRef idx="0"/>
    <cs:fillRef idx="0"/>
    <cs:effectRef idx="0"/>
    <cs:fontRef idx="minor">
      <a:schemeClr val="lt1"/>
    </cs:fontRef>
    <cs:defRPr sz="900" kern="1200"/>
  </cs:trendlineLabel>
  <cs:upBar>
    <cs:lnRef idx="0">
      <cs:styleClr val="0"/>
    </cs:lnRef>
    <cs:fillRef idx="0"/>
    <cs:effectRef idx="0"/>
    <cs:fontRef idx="minor">
      <a:schemeClr val="dk1"/>
    </cs:fontRef>
    <cs:spPr>
      <a:solidFill>
        <a:schemeClr val="lt1">
          <a:lumMod val="95000"/>
        </a:schemeClr>
      </a:solidFill>
      <a:ln w="9525">
        <a:solidFill>
          <a:schemeClr val="phClr">
            <a:lumMod val="60000"/>
            <a:lumOff val="40000"/>
          </a:schemeClr>
        </a:solidFill>
      </a:ln>
    </cs:spPr>
  </cs:upBar>
  <cs:valueAxis>
    <cs:lnRef idx="0"/>
    <cs:fillRef idx="0"/>
    <cs:effectRef idx="0"/>
    <cs:fontRef idx="minor">
      <a:schemeClr val="lt1"/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3.xml><?xml version="1.0" encoding="utf-8"?>
<cs:chartStyle xmlns:cs="http://schemas.microsoft.com/office/drawing/2012/chartStyle" xmlns:a="http://schemas.openxmlformats.org/drawingml/2006/main" id="229">
  <cs:axisTitle>
    <cs:lnRef idx="0"/>
    <cs:fillRef idx="0"/>
    <cs:effectRef idx="0"/>
    <cs:fontRef idx="minor">
      <a:schemeClr val="lt1"/>
    </cs:fontRef>
    <cs:defRPr sz="900" b="1" kern="1200"/>
  </cs:axisTitle>
  <cs:categoryAxis>
    <cs:lnRef idx="0">
      <cs:styleClr val="0"/>
    </cs:lnRef>
    <cs:fillRef idx="0"/>
    <cs:effectRef idx="0"/>
    <cs:fontRef idx="minor">
      <a:schemeClr val="lt1"/>
    </cs:fontRef>
    <cs:spPr>
      <a:ln w="12700" cap="flat" cmpd="sng" algn="ctr">
        <a:solidFill>
          <a:schemeClr val="lt1"/>
        </a:solidFill>
        <a:round/>
      </a:ln>
    </cs:spPr>
    <cs:defRPr sz="900" kern="1200" spc="100" baseline="0"/>
  </cs:categoryAxis>
  <cs:chartArea>
    <cs:lnRef idx="0">
      <cs:styleClr val="0"/>
    </cs:lnRef>
    <cs:fillRef idx="0">
      <cs:styleClr val="0"/>
    </cs:fillRef>
    <cs:effectRef idx="0"/>
    <cs:fontRef idx="minor">
      <a:schemeClr val="dk1"/>
    </cs:fontRef>
    <cs:spPr>
      <a:solidFill>
        <a:schemeClr val="phClr"/>
      </a:solidFill>
      <a:ln w="9525" cap="flat" cmpd="sng" algn="ctr">
        <a:solidFill>
          <a:schemeClr val="phClr"/>
        </a:solidFill>
        <a:round/>
      </a:ln>
    </cs:spPr>
    <cs:defRPr sz="1000" kern="1200"/>
  </cs:chartArea>
  <cs:dataLabel>
    <cs:lnRef idx="0"/>
    <cs:fillRef idx="0"/>
    <cs:effectRef idx="0"/>
    <cs:fontRef idx="minor">
      <a:schemeClr val="lt1"/>
    </cs:fontRef>
    <cs:defRPr sz="900" b="1" kern="1200"/>
  </cs:dataLabel>
  <cs:dataLabelCallout>
    <cs:lnRef idx="0">
      <cs:styleClr val="auto"/>
    </cs:lnRef>
    <cs:fillRef idx="0"/>
    <cs:effectRef idx="0"/>
    <cs:fontRef idx="minor">
      <cs:styleClr val="auto"/>
    </cs:fontRef>
    <cs:spPr>
      <a:solidFill>
        <a:schemeClr val="lt1"/>
      </a:solidFill>
      <a:ln>
        <a:solidFill>
          <a:schemeClr val="phClr"/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pattFill prst="ltUpDiag">
        <a:fgClr>
          <a:schemeClr val="phClr"/>
        </a:fgClr>
        <a:bgClr>
          <a:schemeClr val="lt1"/>
        </a:bgClr>
      </a:patt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pattFill prst="ltUpDiag">
        <a:fgClr>
          <a:schemeClr val="phClr"/>
        </a:fgClr>
        <a:bgClr>
          <a:schemeClr val="lt1"/>
        </a:bgClr>
      </a:pattFill>
    </cs:spPr>
  </cs:dataPoint3D>
  <cs:dataPointLine>
    <cs:lnRef idx="0">
      <cs:styleClr val="auto"/>
    </cs:lnRef>
    <cs:fillRef idx="0"/>
    <cs:effectRef idx="0">
      <cs:styleClr val="auto"/>
    </cs:effectRef>
    <cs:fontRef idx="minor">
      <a:schemeClr val="dk1"/>
    </cs:fontRef>
    <cs:spPr>
      <a:ln w="34925" cap="rnd">
        <a:solidFill>
          <a:schemeClr val="lt1"/>
        </a:solidFill>
        <a:round/>
      </a:ln>
      <a:effectLst>
        <a:outerShdw dist="25400" dir="2700000" algn="tl" rotWithShape="0">
          <a:schemeClr val="phClr"/>
        </a:outerShdw>
      </a:effectLst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22225">
        <a:solidFill>
          <a:schemeClr val="lt1"/>
        </a:solidFill>
        <a:round/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>
      <cs:styleClr val="0"/>
    </cs:lnRef>
    <cs:fillRef idx="0"/>
    <cs:effectRef idx="0"/>
    <cs:fontRef idx="minor">
      <a:schemeClr val="lt1"/>
    </cs:fontRef>
    <cs:spPr>
      <a:ln w="9525">
        <a:solidFill>
          <a:schemeClr val="phClr">
            <a:lumMod val="60000"/>
            <a:lumOff val="40000"/>
          </a:schemeClr>
        </a:solidFill>
      </a:ln>
    </cs:spPr>
    <cs:defRPr sz="900" kern="1200"/>
  </cs:dataTable>
  <cs:downBar>
    <cs:lnRef idx="0">
      <cs:styleClr val="0"/>
    </cs:lnRef>
    <cs:fillRef idx="0"/>
    <cs:effectRef idx="0"/>
    <cs:fontRef idx="minor">
      <a:schemeClr val="dk1"/>
    </cs:fontRef>
    <cs:spPr>
      <a:solidFill>
        <a:schemeClr val="dk1">
          <a:lumMod val="35000"/>
          <a:lumOff val="65000"/>
        </a:schemeClr>
      </a:solidFill>
      <a:ln w="9525">
        <a:solidFill>
          <a:schemeClr val="phClr">
            <a:lumMod val="60000"/>
            <a:lumOff val="4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0">
              <a:schemeClr val="lt1"/>
            </a:gs>
            <a:gs pos="100000">
              <a:schemeClr val="lt1">
                <a:alpha val="0"/>
              </a:schemeClr>
            </a:gs>
          </a:gsLst>
          <a:lin ang="5400000" scaled="0"/>
        </a:gradFill>
        <a:round/>
      </a:ln>
    </cs:spPr>
  </cs:dropLine>
  <cs:errorBar>
    <cs:lnRef idx="0">
      <cs:styleClr val="0"/>
    </cs:lnRef>
    <cs:fillRef idx="0"/>
    <cs:effectRef idx="0"/>
    <cs:fontRef idx="minor">
      <a:schemeClr val="dk1"/>
    </cs:fontRef>
    <cs:spPr>
      <a:ln w="9525">
        <a:solidFill>
          <a:schemeClr val="phClr">
            <a:lumMod val="60000"/>
            <a:lumOff val="40000"/>
          </a:schemeClr>
        </a:solidFill>
        <a:round/>
      </a:ln>
      <a:effectLst>
        <a:glow rad="25400">
          <a:schemeClr val="lt1"/>
        </a:glow>
      </a:effectLst>
    </cs:spPr>
  </cs:errorBar>
  <cs:floor>
    <cs:lnRef idx="0"/>
    <cs:fillRef idx="0"/>
    <cs:effectRef idx="0"/>
    <cs:fontRef idx="minor">
      <a:schemeClr val="dk1"/>
    </cs:fontRef>
  </cs:floor>
  <cs:gridlineMajor>
    <cs:lnRef idx="0">
      <cs:styleClr val="0"/>
    </cs:lnRef>
    <cs:fillRef idx="0"/>
    <cs:effectRef idx="0"/>
    <cs:fontRef idx="minor">
      <a:schemeClr val="dk1"/>
    </cs:fontRef>
    <cs:spPr>
      <a:ln w="9525" cap="flat" cmpd="sng" algn="ctr">
        <a:solidFill>
          <a:schemeClr val="lt1">
            <a:alpha val="25000"/>
          </a:schemeClr>
        </a:solidFill>
        <a:round/>
      </a:ln>
    </cs:spPr>
  </cs:gridlineMajor>
  <cs:gridlineMinor>
    <cs:lnRef idx="0">
      <cs:styleClr val="0"/>
    </cs:lnRef>
    <cs:fillRef idx="0"/>
    <cs:effectRef idx="0"/>
    <cs:fontRef idx="minor">
      <a:schemeClr val="dk1"/>
    </cs:fontRef>
    <cs:spPr>
      <a:ln>
        <a:solidFill>
          <a:schemeClr val="lt1">
            <a:alpha val="10000"/>
          </a:schemeClr>
        </a:solidFill>
      </a:ln>
    </cs:spPr>
  </cs:gridlineMinor>
  <cs:hiLoLine>
    <cs:lnRef idx="0">
      <cs:styleClr val="0"/>
    </cs:lnRef>
    <cs:fillRef idx="0"/>
    <cs:effectRef idx="0"/>
    <cs:fontRef idx="minor">
      <a:schemeClr val="dk1"/>
    </cs:fontRef>
    <cs:spPr>
      <a:ln w="9525">
        <a:solidFill>
          <a:schemeClr val="phClr">
            <a:lumMod val="60000"/>
            <a:lumOff val="40000"/>
          </a:schemeClr>
        </a:solidFill>
        <a:prstDash val="dash"/>
      </a:ln>
    </cs:spPr>
  </cs:hiLoLine>
  <cs:leaderLine>
    <cs:lnRef idx="0">
      <cs:styleClr val="0"/>
    </cs:lnRef>
    <cs:fillRef idx="0"/>
    <cs:effectRef idx="0"/>
    <cs:fontRef idx="minor">
      <a:schemeClr val="dk1"/>
    </cs:fontRef>
    <cs:spPr>
      <a:ln w="9525">
        <a:solidFill>
          <a:schemeClr val="phClr">
            <a:lumMod val="60000"/>
            <a:lumOff val="40000"/>
          </a:schemeClr>
        </a:solidFill>
      </a:ln>
    </cs:spPr>
  </cs:leaderLine>
  <cs:legend>
    <cs:lnRef idx="0"/>
    <cs:fillRef idx="0"/>
    <cs:effectRef idx="0"/>
    <cs:fontRef idx="minor">
      <a:schemeClr val="lt1"/>
    </cs:fontRef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>
      <cs:styleClr val="0"/>
    </cs:lnRef>
    <cs:fillRef idx="0"/>
    <cs:effectRef idx="0"/>
    <cs:fontRef idx="minor">
      <a:schemeClr val="lt1"/>
    </cs:fontRef>
    <cs:spPr>
      <a:ln w="3175" cap="flat" cmpd="sng" algn="ctr">
        <a:solidFill>
          <a:schemeClr val="phClr">
            <a:lumMod val="60000"/>
            <a:lumOff val="40000"/>
          </a:schemeClr>
        </a:solidFill>
        <a:round/>
      </a:ln>
    </cs:spPr>
    <cs:defRPr sz="900" kern="1200"/>
  </cs:seriesAxis>
  <cs:seriesLine>
    <cs:lnRef idx="0">
      <cs:styleClr val="0"/>
    </cs:lnRef>
    <cs:fillRef idx="0"/>
    <cs:effectRef idx="0"/>
    <cs:fontRef idx="minor">
      <a:schemeClr val="dk1"/>
    </cs:fontRef>
    <cs:spPr>
      <a:ln w="9525">
        <a:solidFill>
          <a:schemeClr val="phClr">
            <a:lumMod val="60000"/>
            <a:lumOff val="40000"/>
            <a:tint val="50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lt1"/>
    </cs:fontRef>
    <cs:defRPr sz="1500" b="1" kern="1200" cap="all" spc="100" normalizeH="0" baseline="0"/>
  </cs:title>
  <cs:trendline>
    <cs:lnRef idx="0"/>
    <cs:fillRef idx="0"/>
    <cs:effectRef idx="0"/>
    <cs:fontRef idx="minor">
      <a:schemeClr val="dk1"/>
    </cs:fontRef>
    <cs:spPr>
      <a:ln w="28575" cap="rnd">
        <a:solidFill>
          <a:schemeClr val="lt1">
            <a:alpha val="50000"/>
          </a:schemeClr>
        </a:solidFill>
        <a:round/>
      </a:ln>
    </cs:spPr>
  </cs:trendline>
  <cs:trendlineLabel>
    <cs:lnRef idx="0"/>
    <cs:fillRef idx="0"/>
    <cs:effectRef idx="0"/>
    <cs:fontRef idx="minor">
      <a:schemeClr val="lt1"/>
    </cs:fontRef>
    <cs:defRPr sz="900" kern="1200"/>
  </cs:trendlineLabel>
  <cs:upBar>
    <cs:lnRef idx="0">
      <cs:styleClr val="0"/>
    </cs:lnRef>
    <cs:fillRef idx="0"/>
    <cs:effectRef idx="0"/>
    <cs:fontRef idx="minor">
      <a:schemeClr val="dk1"/>
    </cs:fontRef>
    <cs:spPr>
      <a:solidFill>
        <a:schemeClr val="lt1">
          <a:lumMod val="95000"/>
        </a:schemeClr>
      </a:solidFill>
      <a:ln w="9525">
        <a:solidFill>
          <a:schemeClr val="phClr">
            <a:lumMod val="60000"/>
            <a:lumOff val="40000"/>
          </a:schemeClr>
        </a:solidFill>
      </a:ln>
    </cs:spPr>
  </cs:upBar>
  <cs:valueAxis>
    <cs:lnRef idx="0"/>
    <cs:fillRef idx="0"/>
    <cs:effectRef idx="0"/>
    <cs:fontRef idx="minor">
      <a:schemeClr val="lt1"/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4.xml><?xml version="1.0" encoding="utf-8"?>
<cs:chartStyle xmlns:cs="http://schemas.microsoft.com/office/drawing/2012/chartStyle" xmlns:a="http://schemas.openxmlformats.org/drawingml/2006/main" id="229">
  <cs:axisTitle>
    <cs:lnRef idx="0"/>
    <cs:fillRef idx="0"/>
    <cs:effectRef idx="0"/>
    <cs:fontRef idx="minor">
      <a:schemeClr val="lt1"/>
    </cs:fontRef>
    <cs:defRPr sz="900" b="1" kern="1200"/>
  </cs:axisTitle>
  <cs:categoryAxis>
    <cs:lnRef idx="0">
      <cs:styleClr val="0"/>
    </cs:lnRef>
    <cs:fillRef idx="0"/>
    <cs:effectRef idx="0"/>
    <cs:fontRef idx="minor">
      <a:schemeClr val="lt1"/>
    </cs:fontRef>
    <cs:spPr>
      <a:ln w="12700" cap="flat" cmpd="sng" algn="ctr">
        <a:solidFill>
          <a:schemeClr val="lt1"/>
        </a:solidFill>
        <a:round/>
      </a:ln>
    </cs:spPr>
    <cs:defRPr sz="900" kern="1200" spc="100" baseline="0"/>
  </cs:categoryAxis>
  <cs:chartArea>
    <cs:lnRef idx="0">
      <cs:styleClr val="0"/>
    </cs:lnRef>
    <cs:fillRef idx="0">
      <cs:styleClr val="0"/>
    </cs:fillRef>
    <cs:effectRef idx="0"/>
    <cs:fontRef idx="minor">
      <a:schemeClr val="dk1"/>
    </cs:fontRef>
    <cs:spPr>
      <a:solidFill>
        <a:schemeClr val="phClr"/>
      </a:solidFill>
      <a:ln w="9525" cap="flat" cmpd="sng" algn="ctr">
        <a:solidFill>
          <a:schemeClr val="phClr"/>
        </a:solidFill>
        <a:round/>
      </a:ln>
    </cs:spPr>
    <cs:defRPr sz="1000" kern="1200"/>
  </cs:chartArea>
  <cs:dataLabel>
    <cs:lnRef idx="0"/>
    <cs:fillRef idx="0"/>
    <cs:effectRef idx="0"/>
    <cs:fontRef idx="minor">
      <a:schemeClr val="lt1"/>
    </cs:fontRef>
    <cs:defRPr sz="900" b="1" kern="1200"/>
  </cs:dataLabel>
  <cs:dataLabelCallout>
    <cs:lnRef idx="0">
      <cs:styleClr val="auto"/>
    </cs:lnRef>
    <cs:fillRef idx="0"/>
    <cs:effectRef idx="0"/>
    <cs:fontRef idx="minor">
      <cs:styleClr val="auto"/>
    </cs:fontRef>
    <cs:spPr>
      <a:solidFill>
        <a:schemeClr val="lt1"/>
      </a:solidFill>
      <a:ln>
        <a:solidFill>
          <a:schemeClr val="phClr"/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pattFill prst="ltUpDiag">
        <a:fgClr>
          <a:schemeClr val="phClr"/>
        </a:fgClr>
        <a:bgClr>
          <a:schemeClr val="lt1"/>
        </a:bgClr>
      </a:patt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pattFill prst="ltUpDiag">
        <a:fgClr>
          <a:schemeClr val="phClr"/>
        </a:fgClr>
        <a:bgClr>
          <a:schemeClr val="lt1"/>
        </a:bgClr>
      </a:pattFill>
    </cs:spPr>
  </cs:dataPoint3D>
  <cs:dataPointLine>
    <cs:lnRef idx="0">
      <cs:styleClr val="auto"/>
    </cs:lnRef>
    <cs:fillRef idx="0"/>
    <cs:effectRef idx="0">
      <cs:styleClr val="auto"/>
    </cs:effectRef>
    <cs:fontRef idx="minor">
      <a:schemeClr val="dk1"/>
    </cs:fontRef>
    <cs:spPr>
      <a:ln w="34925" cap="rnd">
        <a:solidFill>
          <a:schemeClr val="lt1"/>
        </a:solidFill>
        <a:round/>
      </a:ln>
      <a:effectLst>
        <a:outerShdw dist="25400" dir="2700000" algn="tl" rotWithShape="0">
          <a:schemeClr val="phClr"/>
        </a:outerShdw>
      </a:effectLst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22225">
        <a:solidFill>
          <a:schemeClr val="lt1"/>
        </a:solidFill>
        <a:round/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>
      <cs:styleClr val="0"/>
    </cs:lnRef>
    <cs:fillRef idx="0"/>
    <cs:effectRef idx="0"/>
    <cs:fontRef idx="minor">
      <a:schemeClr val="lt1"/>
    </cs:fontRef>
    <cs:spPr>
      <a:ln w="9525">
        <a:solidFill>
          <a:schemeClr val="phClr">
            <a:lumMod val="60000"/>
            <a:lumOff val="40000"/>
          </a:schemeClr>
        </a:solidFill>
      </a:ln>
    </cs:spPr>
    <cs:defRPr sz="900" kern="1200"/>
  </cs:dataTable>
  <cs:downBar>
    <cs:lnRef idx="0">
      <cs:styleClr val="0"/>
    </cs:lnRef>
    <cs:fillRef idx="0"/>
    <cs:effectRef idx="0"/>
    <cs:fontRef idx="minor">
      <a:schemeClr val="dk1"/>
    </cs:fontRef>
    <cs:spPr>
      <a:solidFill>
        <a:schemeClr val="dk1">
          <a:lumMod val="35000"/>
          <a:lumOff val="65000"/>
        </a:schemeClr>
      </a:solidFill>
      <a:ln w="9525">
        <a:solidFill>
          <a:schemeClr val="phClr">
            <a:lumMod val="60000"/>
            <a:lumOff val="4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0">
              <a:schemeClr val="lt1"/>
            </a:gs>
            <a:gs pos="100000">
              <a:schemeClr val="lt1">
                <a:alpha val="0"/>
              </a:schemeClr>
            </a:gs>
          </a:gsLst>
          <a:lin ang="5400000" scaled="0"/>
        </a:gradFill>
        <a:round/>
      </a:ln>
    </cs:spPr>
  </cs:dropLine>
  <cs:errorBar>
    <cs:lnRef idx="0">
      <cs:styleClr val="0"/>
    </cs:lnRef>
    <cs:fillRef idx="0"/>
    <cs:effectRef idx="0"/>
    <cs:fontRef idx="minor">
      <a:schemeClr val="dk1"/>
    </cs:fontRef>
    <cs:spPr>
      <a:ln w="9525">
        <a:solidFill>
          <a:schemeClr val="phClr">
            <a:lumMod val="60000"/>
            <a:lumOff val="40000"/>
          </a:schemeClr>
        </a:solidFill>
        <a:round/>
      </a:ln>
      <a:effectLst>
        <a:glow rad="25400">
          <a:schemeClr val="lt1"/>
        </a:glow>
      </a:effectLst>
    </cs:spPr>
  </cs:errorBar>
  <cs:floor>
    <cs:lnRef idx="0"/>
    <cs:fillRef idx="0"/>
    <cs:effectRef idx="0"/>
    <cs:fontRef idx="minor">
      <a:schemeClr val="dk1"/>
    </cs:fontRef>
  </cs:floor>
  <cs:gridlineMajor>
    <cs:lnRef idx="0">
      <cs:styleClr val="0"/>
    </cs:lnRef>
    <cs:fillRef idx="0"/>
    <cs:effectRef idx="0"/>
    <cs:fontRef idx="minor">
      <a:schemeClr val="dk1"/>
    </cs:fontRef>
    <cs:spPr>
      <a:ln w="9525" cap="flat" cmpd="sng" algn="ctr">
        <a:solidFill>
          <a:schemeClr val="lt1">
            <a:alpha val="25000"/>
          </a:schemeClr>
        </a:solidFill>
        <a:round/>
      </a:ln>
    </cs:spPr>
  </cs:gridlineMajor>
  <cs:gridlineMinor>
    <cs:lnRef idx="0">
      <cs:styleClr val="0"/>
    </cs:lnRef>
    <cs:fillRef idx="0"/>
    <cs:effectRef idx="0"/>
    <cs:fontRef idx="minor">
      <a:schemeClr val="dk1"/>
    </cs:fontRef>
    <cs:spPr>
      <a:ln>
        <a:solidFill>
          <a:schemeClr val="lt1">
            <a:alpha val="10000"/>
          </a:schemeClr>
        </a:solidFill>
      </a:ln>
    </cs:spPr>
  </cs:gridlineMinor>
  <cs:hiLoLine>
    <cs:lnRef idx="0">
      <cs:styleClr val="0"/>
    </cs:lnRef>
    <cs:fillRef idx="0"/>
    <cs:effectRef idx="0"/>
    <cs:fontRef idx="minor">
      <a:schemeClr val="dk1"/>
    </cs:fontRef>
    <cs:spPr>
      <a:ln w="9525">
        <a:solidFill>
          <a:schemeClr val="phClr">
            <a:lumMod val="60000"/>
            <a:lumOff val="40000"/>
          </a:schemeClr>
        </a:solidFill>
        <a:prstDash val="dash"/>
      </a:ln>
    </cs:spPr>
  </cs:hiLoLine>
  <cs:leaderLine>
    <cs:lnRef idx="0">
      <cs:styleClr val="0"/>
    </cs:lnRef>
    <cs:fillRef idx="0"/>
    <cs:effectRef idx="0"/>
    <cs:fontRef idx="minor">
      <a:schemeClr val="dk1"/>
    </cs:fontRef>
    <cs:spPr>
      <a:ln w="9525">
        <a:solidFill>
          <a:schemeClr val="phClr">
            <a:lumMod val="60000"/>
            <a:lumOff val="40000"/>
          </a:schemeClr>
        </a:solidFill>
      </a:ln>
    </cs:spPr>
  </cs:leaderLine>
  <cs:legend>
    <cs:lnRef idx="0"/>
    <cs:fillRef idx="0"/>
    <cs:effectRef idx="0"/>
    <cs:fontRef idx="minor">
      <a:schemeClr val="lt1"/>
    </cs:fontRef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>
      <cs:styleClr val="0"/>
    </cs:lnRef>
    <cs:fillRef idx="0"/>
    <cs:effectRef idx="0"/>
    <cs:fontRef idx="minor">
      <a:schemeClr val="lt1"/>
    </cs:fontRef>
    <cs:spPr>
      <a:ln w="3175" cap="flat" cmpd="sng" algn="ctr">
        <a:solidFill>
          <a:schemeClr val="phClr">
            <a:lumMod val="60000"/>
            <a:lumOff val="40000"/>
          </a:schemeClr>
        </a:solidFill>
        <a:round/>
      </a:ln>
    </cs:spPr>
    <cs:defRPr sz="900" kern="1200"/>
  </cs:seriesAxis>
  <cs:seriesLine>
    <cs:lnRef idx="0">
      <cs:styleClr val="0"/>
    </cs:lnRef>
    <cs:fillRef idx="0"/>
    <cs:effectRef idx="0"/>
    <cs:fontRef idx="minor">
      <a:schemeClr val="dk1"/>
    </cs:fontRef>
    <cs:spPr>
      <a:ln w="9525">
        <a:solidFill>
          <a:schemeClr val="phClr">
            <a:lumMod val="60000"/>
            <a:lumOff val="40000"/>
            <a:tint val="50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lt1"/>
    </cs:fontRef>
    <cs:defRPr sz="1500" b="1" kern="1200" cap="all" spc="100" normalizeH="0" baseline="0"/>
  </cs:title>
  <cs:trendline>
    <cs:lnRef idx="0"/>
    <cs:fillRef idx="0"/>
    <cs:effectRef idx="0"/>
    <cs:fontRef idx="minor">
      <a:schemeClr val="dk1"/>
    </cs:fontRef>
    <cs:spPr>
      <a:ln w="28575" cap="rnd">
        <a:solidFill>
          <a:schemeClr val="lt1">
            <a:alpha val="50000"/>
          </a:schemeClr>
        </a:solidFill>
        <a:round/>
      </a:ln>
    </cs:spPr>
  </cs:trendline>
  <cs:trendlineLabel>
    <cs:lnRef idx="0"/>
    <cs:fillRef idx="0"/>
    <cs:effectRef idx="0"/>
    <cs:fontRef idx="minor">
      <a:schemeClr val="lt1"/>
    </cs:fontRef>
    <cs:defRPr sz="900" kern="1200"/>
  </cs:trendlineLabel>
  <cs:upBar>
    <cs:lnRef idx="0">
      <cs:styleClr val="0"/>
    </cs:lnRef>
    <cs:fillRef idx="0"/>
    <cs:effectRef idx="0"/>
    <cs:fontRef idx="minor">
      <a:schemeClr val="dk1"/>
    </cs:fontRef>
    <cs:spPr>
      <a:solidFill>
        <a:schemeClr val="lt1">
          <a:lumMod val="95000"/>
        </a:schemeClr>
      </a:solidFill>
      <a:ln w="9525">
        <a:solidFill>
          <a:schemeClr val="phClr">
            <a:lumMod val="60000"/>
            <a:lumOff val="40000"/>
          </a:schemeClr>
        </a:solidFill>
      </a:ln>
    </cs:spPr>
  </cs:upBar>
  <cs:valueAxis>
    <cs:lnRef idx="0"/>
    <cs:fillRef idx="0"/>
    <cs:effectRef idx="0"/>
    <cs:fontRef idx="minor">
      <a:schemeClr val="lt1"/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1F497D"/>
    </a:dk2>
    <a:lt2>
      <a:srgbClr val="EEECE1"/>
    </a:lt2>
    <a:accent1>
      <a:srgbClr val="4F81BD"/>
    </a:accent1>
    <a:accent2>
      <a:srgbClr val="C0504D"/>
    </a:accent2>
    <a:accent3>
      <a:srgbClr val="9BBB59"/>
    </a:accent3>
    <a:accent4>
      <a:srgbClr val="8064A2"/>
    </a:accent4>
    <a:accent5>
      <a:srgbClr val="4BACC6"/>
    </a:accent5>
    <a:accent6>
      <a:srgbClr val="F79646"/>
    </a:accent6>
    <a:hlink>
      <a:srgbClr val="0000FF"/>
    </a:hlink>
    <a:folHlink>
      <a:srgbClr val="800080"/>
    </a:folHlink>
  </a:clrScheme>
  <a:fontScheme name="Office">
    <a:majorFont>
      <a:latin typeface="Calibri"/>
      <a:ea typeface=""/>
      <a:cs typeface=""/>
      <a:font script="Jpan" typeface="ＭＳ 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mbria"/>
      <a:ea typeface=""/>
      <a:cs typeface=""/>
      <a:font script="Jpan" typeface="ＭＳ 明朝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tint val="50000"/>
              <a:satMod val="300000"/>
            </a:schemeClr>
          </a:gs>
          <a:gs pos="35000">
            <a:schemeClr val="phClr">
              <a:tint val="37000"/>
              <a:satMod val="300000"/>
            </a:schemeClr>
          </a:gs>
          <a:gs pos="100000">
            <a:schemeClr val="phClr">
              <a:tint val="15000"/>
              <a:satMod val="350000"/>
            </a:schemeClr>
          </a:gs>
        </a:gsLst>
        <a:lin ang="16200000" scaled="1"/>
      </a:gradFill>
      <a:gradFill rotWithShape="1">
        <a:gsLst>
          <a:gs pos="0">
            <a:schemeClr val="phClr">
              <a:tint val="100000"/>
              <a:shade val="100000"/>
              <a:satMod val="130000"/>
            </a:schemeClr>
          </a:gs>
          <a:gs pos="100000">
            <a:schemeClr val="phClr">
              <a:tint val="50000"/>
              <a:shade val="100000"/>
              <a:satMod val="350000"/>
            </a:schemeClr>
          </a:gs>
        </a:gsLst>
        <a:lin ang="16200000" scaled="0"/>
      </a:gradFill>
    </a:fillStyleLst>
    <a:lnStyleLst>
      <a:ln w="9525" cap="flat" cmpd="sng" algn="ctr">
        <a:solidFill>
          <a:schemeClr val="phClr">
            <a:shade val="95000"/>
            <a:satMod val="105000"/>
          </a:schemeClr>
        </a:solidFill>
        <a:prstDash val="solid"/>
      </a:ln>
      <a:ln w="25400" cap="flat" cmpd="sng" algn="ctr">
        <a:solidFill>
          <a:schemeClr val="phClr"/>
        </a:solidFill>
        <a:prstDash val="solid"/>
      </a:ln>
      <a:ln w="38100" cap="flat" cmpd="sng" algn="ctr">
        <a:solidFill>
          <a:schemeClr val="phClr"/>
        </a:solidFill>
        <a:prstDash val="solid"/>
      </a:ln>
    </a:lnStyleLst>
    <a:effectStyleLst>
      <a:effectStyle>
        <a:effectLst>
          <a:outerShdw blurRad="40000" dist="20000" dir="5400000" rotWithShape="0">
            <a:srgbClr val="000000">
              <a:alpha val="38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a:effectStyle>
    </a:effectStyleLst>
    <a:bgFillStyleLst>
      <a:solidFill>
        <a:schemeClr val="phClr"/>
      </a:solidFill>
      <a:gradFill rotWithShape="1">
        <a:gsLst>
          <a:gs pos="0">
            <a:schemeClr val="phClr">
              <a:tint val="40000"/>
              <a:satMod val="350000"/>
            </a:schemeClr>
          </a:gs>
          <a:gs pos="40000">
            <a:schemeClr val="phClr">
              <a:tint val="45000"/>
              <a:shade val="99000"/>
              <a:satMod val="350000"/>
            </a:schemeClr>
          </a:gs>
          <a:gs pos="100000">
            <a:schemeClr val="phClr">
              <a:shade val="20000"/>
              <a:satMod val="255000"/>
            </a:schemeClr>
          </a:gs>
        </a:gsLst>
        <a:path path="circle">
          <a:fillToRect l="50000" t="-80000" r="50000" b="180000"/>
        </a:path>
      </a:gradFill>
      <a:gradFill rotWithShape="1">
        <a:gsLst>
          <a:gs pos="0">
            <a:schemeClr val="phClr">
              <a:tint val="80000"/>
              <a:satMod val="300000"/>
            </a:schemeClr>
          </a:gs>
          <a:gs pos="100000">
            <a:schemeClr val="phClr">
              <a:shade val="30000"/>
              <a:satMod val="200000"/>
            </a:schemeClr>
          </a:gs>
        </a:gsLst>
        <a:path path="circle">
          <a:fillToRect l="50000" t="50000" r="50000" b="50000"/>
        </a:path>
      </a:gradFill>
    </a:bgFillStyleLst>
  </a:fmtScheme>
</a:themeOverride>
</file>

<file path=word/theme/themeOverride2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1F497D"/>
    </a:dk2>
    <a:lt2>
      <a:srgbClr val="EEECE1"/>
    </a:lt2>
    <a:accent1>
      <a:srgbClr val="4F81BD"/>
    </a:accent1>
    <a:accent2>
      <a:srgbClr val="C0504D"/>
    </a:accent2>
    <a:accent3>
      <a:srgbClr val="9BBB59"/>
    </a:accent3>
    <a:accent4>
      <a:srgbClr val="8064A2"/>
    </a:accent4>
    <a:accent5>
      <a:srgbClr val="4BACC6"/>
    </a:accent5>
    <a:accent6>
      <a:srgbClr val="F79646"/>
    </a:accent6>
    <a:hlink>
      <a:srgbClr val="0000FF"/>
    </a:hlink>
    <a:folHlink>
      <a:srgbClr val="800080"/>
    </a:folHlink>
  </a:clrScheme>
  <a:fontScheme name="Office">
    <a:majorFont>
      <a:latin typeface="Calibri"/>
      <a:ea typeface=""/>
      <a:cs typeface=""/>
      <a:font script="Jpan" typeface="ＭＳ 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mbria"/>
      <a:ea typeface=""/>
      <a:cs typeface=""/>
      <a:font script="Jpan" typeface="ＭＳ 明朝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tint val="50000"/>
              <a:satMod val="300000"/>
            </a:schemeClr>
          </a:gs>
          <a:gs pos="35000">
            <a:schemeClr val="phClr">
              <a:tint val="37000"/>
              <a:satMod val="300000"/>
            </a:schemeClr>
          </a:gs>
          <a:gs pos="100000">
            <a:schemeClr val="phClr">
              <a:tint val="15000"/>
              <a:satMod val="350000"/>
            </a:schemeClr>
          </a:gs>
        </a:gsLst>
        <a:lin ang="16200000" scaled="1"/>
      </a:gradFill>
      <a:gradFill rotWithShape="1">
        <a:gsLst>
          <a:gs pos="0">
            <a:schemeClr val="phClr">
              <a:tint val="100000"/>
              <a:shade val="100000"/>
              <a:satMod val="130000"/>
            </a:schemeClr>
          </a:gs>
          <a:gs pos="100000">
            <a:schemeClr val="phClr">
              <a:tint val="50000"/>
              <a:shade val="100000"/>
              <a:satMod val="350000"/>
            </a:schemeClr>
          </a:gs>
        </a:gsLst>
        <a:lin ang="16200000" scaled="0"/>
      </a:gradFill>
    </a:fillStyleLst>
    <a:lnStyleLst>
      <a:ln w="9525" cap="flat" cmpd="sng" algn="ctr">
        <a:solidFill>
          <a:schemeClr val="phClr">
            <a:shade val="95000"/>
            <a:satMod val="105000"/>
          </a:schemeClr>
        </a:solidFill>
        <a:prstDash val="solid"/>
      </a:ln>
      <a:ln w="25400" cap="flat" cmpd="sng" algn="ctr">
        <a:solidFill>
          <a:schemeClr val="phClr"/>
        </a:solidFill>
        <a:prstDash val="solid"/>
      </a:ln>
      <a:ln w="38100" cap="flat" cmpd="sng" algn="ctr">
        <a:solidFill>
          <a:schemeClr val="phClr"/>
        </a:solidFill>
        <a:prstDash val="solid"/>
      </a:ln>
    </a:lnStyleLst>
    <a:effectStyleLst>
      <a:effectStyle>
        <a:effectLst>
          <a:outerShdw blurRad="40000" dist="20000" dir="5400000" rotWithShape="0">
            <a:srgbClr val="000000">
              <a:alpha val="38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a:effectStyle>
    </a:effectStyleLst>
    <a:bgFillStyleLst>
      <a:solidFill>
        <a:schemeClr val="phClr"/>
      </a:solidFill>
      <a:gradFill rotWithShape="1">
        <a:gsLst>
          <a:gs pos="0">
            <a:schemeClr val="phClr">
              <a:tint val="40000"/>
              <a:satMod val="350000"/>
            </a:schemeClr>
          </a:gs>
          <a:gs pos="40000">
            <a:schemeClr val="phClr">
              <a:tint val="45000"/>
              <a:shade val="99000"/>
              <a:satMod val="350000"/>
            </a:schemeClr>
          </a:gs>
          <a:gs pos="100000">
            <a:schemeClr val="phClr">
              <a:shade val="20000"/>
              <a:satMod val="255000"/>
            </a:schemeClr>
          </a:gs>
        </a:gsLst>
        <a:path path="circle">
          <a:fillToRect l="50000" t="-80000" r="50000" b="180000"/>
        </a:path>
      </a:gradFill>
      <a:gradFill rotWithShape="1">
        <a:gsLst>
          <a:gs pos="0">
            <a:schemeClr val="phClr">
              <a:tint val="80000"/>
              <a:satMod val="300000"/>
            </a:schemeClr>
          </a:gs>
          <a:gs pos="100000">
            <a:schemeClr val="phClr">
              <a:shade val="30000"/>
              <a:satMod val="200000"/>
            </a:schemeClr>
          </a:gs>
        </a:gsLst>
        <a:path path="circle">
          <a:fillToRect l="50000" t="50000" r="50000" b="50000"/>
        </a:path>
      </a:gradFill>
    </a:bgFillStyleLst>
  </a:fmtScheme>
</a:themeOverride>
</file>

<file path=word/theme/themeOverride3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1F497D"/>
    </a:dk2>
    <a:lt2>
      <a:srgbClr val="EEECE1"/>
    </a:lt2>
    <a:accent1>
      <a:srgbClr val="4F81BD"/>
    </a:accent1>
    <a:accent2>
      <a:srgbClr val="C0504D"/>
    </a:accent2>
    <a:accent3>
      <a:srgbClr val="9BBB59"/>
    </a:accent3>
    <a:accent4>
      <a:srgbClr val="8064A2"/>
    </a:accent4>
    <a:accent5>
      <a:srgbClr val="4BACC6"/>
    </a:accent5>
    <a:accent6>
      <a:srgbClr val="F79646"/>
    </a:accent6>
    <a:hlink>
      <a:srgbClr val="0000FF"/>
    </a:hlink>
    <a:folHlink>
      <a:srgbClr val="800080"/>
    </a:folHlink>
  </a:clrScheme>
  <a:fontScheme name="Office">
    <a:majorFont>
      <a:latin typeface="Calibri"/>
      <a:ea typeface=""/>
      <a:cs typeface=""/>
      <a:font script="Jpan" typeface="ＭＳ 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mbria"/>
      <a:ea typeface=""/>
      <a:cs typeface=""/>
      <a:font script="Jpan" typeface="ＭＳ 明朝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tint val="50000"/>
              <a:satMod val="300000"/>
            </a:schemeClr>
          </a:gs>
          <a:gs pos="35000">
            <a:schemeClr val="phClr">
              <a:tint val="37000"/>
              <a:satMod val="300000"/>
            </a:schemeClr>
          </a:gs>
          <a:gs pos="100000">
            <a:schemeClr val="phClr">
              <a:tint val="15000"/>
              <a:satMod val="350000"/>
            </a:schemeClr>
          </a:gs>
        </a:gsLst>
        <a:lin ang="16200000" scaled="1"/>
      </a:gradFill>
      <a:gradFill rotWithShape="1">
        <a:gsLst>
          <a:gs pos="0">
            <a:schemeClr val="phClr">
              <a:tint val="100000"/>
              <a:shade val="100000"/>
              <a:satMod val="130000"/>
            </a:schemeClr>
          </a:gs>
          <a:gs pos="100000">
            <a:schemeClr val="phClr">
              <a:tint val="50000"/>
              <a:shade val="100000"/>
              <a:satMod val="350000"/>
            </a:schemeClr>
          </a:gs>
        </a:gsLst>
        <a:lin ang="16200000" scaled="0"/>
      </a:gradFill>
    </a:fillStyleLst>
    <a:lnStyleLst>
      <a:ln w="9525" cap="flat" cmpd="sng" algn="ctr">
        <a:solidFill>
          <a:schemeClr val="phClr">
            <a:shade val="95000"/>
            <a:satMod val="105000"/>
          </a:schemeClr>
        </a:solidFill>
        <a:prstDash val="solid"/>
      </a:ln>
      <a:ln w="25400" cap="flat" cmpd="sng" algn="ctr">
        <a:solidFill>
          <a:schemeClr val="phClr"/>
        </a:solidFill>
        <a:prstDash val="solid"/>
      </a:ln>
      <a:ln w="38100" cap="flat" cmpd="sng" algn="ctr">
        <a:solidFill>
          <a:schemeClr val="phClr"/>
        </a:solidFill>
        <a:prstDash val="solid"/>
      </a:ln>
    </a:lnStyleLst>
    <a:effectStyleLst>
      <a:effectStyle>
        <a:effectLst>
          <a:outerShdw blurRad="40000" dist="20000" dir="5400000" rotWithShape="0">
            <a:srgbClr val="000000">
              <a:alpha val="38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a:effectStyle>
    </a:effectStyleLst>
    <a:bgFillStyleLst>
      <a:solidFill>
        <a:schemeClr val="phClr"/>
      </a:solidFill>
      <a:gradFill rotWithShape="1">
        <a:gsLst>
          <a:gs pos="0">
            <a:schemeClr val="phClr">
              <a:tint val="40000"/>
              <a:satMod val="350000"/>
            </a:schemeClr>
          </a:gs>
          <a:gs pos="40000">
            <a:schemeClr val="phClr">
              <a:tint val="45000"/>
              <a:shade val="99000"/>
              <a:satMod val="350000"/>
            </a:schemeClr>
          </a:gs>
          <a:gs pos="100000">
            <a:schemeClr val="phClr">
              <a:shade val="20000"/>
              <a:satMod val="255000"/>
            </a:schemeClr>
          </a:gs>
        </a:gsLst>
        <a:path path="circle">
          <a:fillToRect l="50000" t="-80000" r="50000" b="180000"/>
        </a:path>
      </a:gradFill>
      <a:gradFill rotWithShape="1">
        <a:gsLst>
          <a:gs pos="0">
            <a:schemeClr val="phClr">
              <a:tint val="80000"/>
              <a:satMod val="300000"/>
            </a:schemeClr>
          </a:gs>
          <a:gs pos="100000">
            <a:schemeClr val="phClr">
              <a:shade val="30000"/>
              <a:satMod val="200000"/>
            </a:schemeClr>
          </a:gs>
        </a:gsLst>
        <a:path path="circle">
          <a:fillToRect l="50000" t="50000" r="50000" b="50000"/>
        </a:path>
      </a:gradFill>
    </a:bgFillStyleLst>
  </a:fmtScheme>
</a:themeOverrid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81A539D-FB3D-425F-B1B3-101B7E5ACA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1287</Words>
  <Characters>7337</Characters>
  <Application>Microsoft Office Word</Application>
  <DocSecurity>0</DocSecurity>
  <Lines>61</Lines>
  <Paragraphs>17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8607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Алексей Рабецкий</cp:lastModifiedBy>
  <cp:revision>2</cp:revision>
  <dcterms:created xsi:type="dcterms:W3CDTF">2025-11-29T23:07:00Z</dcterms:created>
  <dcterms:modified xsi:type="dcterms:W3CDTF">2025-11-29T23:07:00Z</dcterms:modified>
  <cp:category/>
</cp:coreProperties>
</file>