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application/x-msmetafil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AA03730" Type="http://schemas.openxmlformats.org/officeDocument/2006/relationships/officeDocument" Target="/word/document.xml" /><Relationship Id="coreR4AA0373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1516656382"/>
      <w:r>
        <w:t>GETTING STARTED</w:t>
      </w:r>
      <w:bookmarkEnd w:id="0"/>
    </w:p>
    <w:p>
      <w:pPr>
        <w:pStyle w:val="P8"/>
      </w:pPr>
      <w:r>
        <w:t xml:space="preserve">This example provides general introduction into </w:t>
      </w:r>
      <w:r>
        <w:rPr>
          <w:b w:val="1"/>
        </w:rPr>
        <w:t>SpreadCommander</w:t>
      </w:r>
      <w:r>
        <w:t>. For more detailed samples on using specific features please check other examples.</w:t>
      </w:r>
    </w:p>
    <w:p>
      <w:pPr>
        <w:pStyle w:val="P7"/>
        <w:spacing w:before="240" w:after="240"/>
        <w:ind w:left="0" w:right="0"/>
        <w:jc w:val="both"/>
      </w:pPr>
      <w:r>
        <w:rPr>
          <w:b w:val="1"/>
        </w:rPr>
        <w:t>Spread Commander</w:t>
      </w:r>
      <w:r>
        <w:t xml:space="preserve"> is an application for office-style data analysis that uses </w:t>
      </w:r>
      <w:r>
        <w:rPr>
          <w:i w:val="1"/>
        </w:rPr>
        <w:t>PowerShell</w:t>
      </w:r>
      <w:r>
        <w:t xml:space="preserve"> script for data manipulation. </w:t>
      </w:r>
    </w:p>
    <w:p>
      <w:pPr>
        <w:pStyle w:val="P7"/>
        <w:spacing w:before="240" w:after="240"/>
        <w:ind w:left="0" w:right="0"/>
        <w:jc w:val="both"/>
      </w:pPr>
      <w:r>
        <w:rPr>
          <w:b w:val="1"/>
        </w:rPr>
        <w:t>SpreadCommander</w:t>
      </w:r>
      <w:r>
        <w:t xml:space="preserve"> contains advanced </w:t>
      </w:r>
      <w:r>
        <w:rPr>
          <w:i w:val="1"/>
        </w:rPr>
        <w:t>PowerShell console</w:t>
      </w:r>
      <w:r>
        <w:t xml:space="preserve"> with output into </w:t>
      </w:r>
      <w:r>
        <w:rPr>
          <w:i w:val="1"/>
        </w:rPr>
        <w:t>Book</w:t>
      </w:r>
      <w:r>
        <w:t xml:space="preserve"> (rich text editor), </w:t>
      </w:r>
      <w:r>
        <w:rPr>
          <w:i w:val="1"/>
        </w:rPr>
        <w:t>Spreadsheet</w:t>
      </w:r>
      <w:r>
        <w:t xml:space="preserve">, powerfull </w:t>
      </w:r>
      <w:r>
        <w:rPr>
          <w:i w:val="1"/>
        </w:rPr>
        <w:t>DataGrid</w:t>
      </w:r>
      <w:r>
        <w:t xml:space="preserve"> and ability to generate </w:t>
      </w:r>
      <w:r>
        <w:rPr>
          <w:i w:val="1"/>
        </w:rPr>
        <w:t>Charts</w:t>
      </w:r>
      <w:r>
        <w:t xml:space="preserve"> and </w:t>
      </w:r>
      <w:r>
        <w:rPr>
          <w:i w:val="1"/>
        </w:rPr>
        <w:t>Pivot tables</w:t>
      </w:r>
      <w:r>
        <w:t xml:space="preserve">. Combination with standalone </w:t>
      </w:r>
      <w:r>
        <w:rPr>
          <w:i w:val="1"/>
        </w:rPr>
        <w:t>Book</w:t>
      </w:r>
      <w:r>
        <w:t xml:space="preserve">, </w:t>
      </w:r>
      <w:r>
        <w:rPr>
          <w:i w:val="1"/>
        </w:rPr>
        <w:t>Spreadsheet</w:t>
      </w:r>
      <w:r>
        <w:t xml:space="preserve">, </w:t>
      </w:r>
      <w:r>
        <w:rPr>
          <w:i w:val="1"/>
        </w:rPr>
        <w:t>SQL</w:t>
      </w:r>
      <w:r>
        <w:t xml:space="preserve">, </w:t>
      </w:r>
      <w:r>
        <w:rPr>
          <w:i w:val="1"/>
        </w:rPr>
        <w:t>Chart</w:t>
      </w:r>
      <w:r>
        <w:t xml:space="preserve">, </w:t>
      </w:r>
      <w:r>
        <w:rPr>
          <w:i w:val="1"/>
        </w:rPr>
        <w:t>Pivot</w:t>
      </w:r>
      <w:r>
        <w:t xml:space="preserve">, </w:t>
      </w:r>
      <w:r>
        <w:rPr>
          <w:i w:val="1"/>
        </w:rPr>
        <w:t>Dashboard</w:t>
      </w:r>
      <w:r>
        <w:t xml:space="preserve"> controls makes </w:t>
      </w:r>
      <w:r>
        <w:rPr>
          <w:b w:val="1"/>
        </w:rPr>
        <w:t>SpreadCommander</w:t>
      </w:r>
      <w:r>
        <w:t xml:space="preserve"> a powerfull </w:t>
      </w:r>
      <w:r>
        <w:rPr>
          <w:i w:val="1"/>
        </w:rPr>
        <w:t>data analysis</w:t>
      </w:r>
      <w:r>
        <w:t xml:space="preserve"> application for work with various kind of data. </w:t>
      </w:r>
    </w:p>
    <w:p>
      <w:pPr>
        <w:pStyle w:val="P7"/>
      </w:pPr>
      <w:r>
        <w:t xml:space="preserve">Combination of </w:t>
      </w:r>
      <w:r>
        <w:rPr>
          <w:i w:val="1"/>
        </w:rPr>
        <w:t>PowerShell</w:t>
      </w:r>
      <w:r>
        <w:t xml:space="preserve"> script and advanced </w:t>
      </w:r>
      <w:r>
        <w:rPr>
          <w:i w:val="1"/>
        </w:rPr>
        <w:t>data visualization</w:t>
      </w:r>
      <w:r>
        <w:t xml:space="preserve"> controls makes work with data very comfortable. </w:t>
      </w:r>
    </w:p>
    <w:p>
      <w:pPr>
        <w:pStyle w:val="P7"/>
      </w:pPr>
      <w:r>
        <w:t xml:space="preserve">One of main features of </w:t>
      </w:r>
      <w:r>
        <w:rPr>
          <w:b w:val="1"/>
        </w:rPr>
        <w:t>SpreadCommander</w:t>
      </w:r>
      <w:r>
        <w:t xml:space="preserve"> is executing </w:t>
      </w:r>
      <w:r>
        <w:rPr>
          <w:i w:val="1"/>
        </w:rPr>
        <w:t>PowerShell</w:t>
      </w:r>
      <w:r>
        <w:t xml:space="preserve"> scripts. Output of a script can be sent into </w:t>
      </w:r>
      <w:r>
        <w:rPr>
          <w:b w:val="1"/>
        </w:rPr>
        <w:t>Book</w:t>
      </w:r>
      <w:r>
        <w:t xml:space="preserve">, </w:t>
      </w:r>
      <w:r>
        <w:rPr>
          <w:b w:val="1"/>
        </w:rPr>
        <w:t>Spreadsheet</w:t>
      </w:r>
      <w:r>
        <w:t xml:space="preserve"> and </w:t>
      </w:r>
      <w:r>
        <w:rPr>
          <w:b w:val="1"/>
        </w:rPr>
        <w:t>Data</w:t>
      </w:r>
      <w:r>
        <w:t xml:space="preserve"> controls. This allows to generate formatted output and send tabular data into </w:t>
      </w:r>
      <w:r>
        <w:rPr>
          <w:b w:val="1"/>
        </w:rPr>
        <w:t>Spreadsheet</w:t>
      </w:r>
      <w:r>
        <w:t xml:space="preserve"> or </w:t>
      </w:r>
      <w:r>
        <w:rPr>
          <w:b w:val="1"/>
        </w:rPr>
        <w:t>Data</w:t>
      </w:r>
      <w:r>
        <w:t xml:space="preserve"> grids, with conditional formatting, for further processing.</w:t>
      </w:r>
    </w:p>
    <w:p>
      <w:pPr>
        <w:pStyle w:val="P7"/>
        <w:spacing w:before="240" w:after="240"/>
        <w:ind w:left="0" w:right="0"/>
        <w:jc w:val="both"/>
      </w:pPr>
      <w:r>
        <w:rPr>
          <w:b w:val="1"/>
        </w:rPr>
        <w:t>Console</w:t>
      </w:r>
      <w:r>
        <w:t xml:space="preserve"> is set of controls where </w:t>
      </w:r>
      <w:r>
        <w:rPr>
          <w:i w:val="1"/>
        </w:rPr>
        <w:t>Script</w:t>
      </w:r>
      <w:r>
        <w:t xml:space="preserve"> can send output. </w:t>
      </w:r>
      <w:r>
        <w:rPr>
          <w:b w:val="1"/>
        </w:rPr>
        <w:t>Console</w:t>
      </w:r>
      <w:r>
        <w:t xml:space="preserve"> contains controls: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rPr>
          <w:b w:val="1"/>
        </w:rPr>
        <w:t>Book</w:t>
      </w:r>
      <w:r>
        <w:t xml:space="preserve"> gets output of the </w:t>
      </w:r>
      <w:r>
        <w:rPr>
          <w:i w:val="1"/>
        </w:rPr>
        <w:t>Script</w:t>
      </w:r>
      <w:r>
        <w:t xml:space="preserve">, including </w:t>
      </w:r>
      <w:r>
        <w:rPr>
          <w:i w:val="1"/>
        </w:rPr>
        <w:t>text</w:t>
      </w:r>
      <w:r>
        <w:t xml:space="preserve">, </w:t>
      </w:r>
      <w:r>
        <w:rPr>
          <w:i w:val="1"/>
        </w:rPr>
        <w:t>images</w:t>
      </w:r>
      <w:r>
        <w:t xml:space="preserve">, </w:t>
      </w:r>
      <w:r>
        <w:rPr>
          <w:i w:val="1"/>
        </w:rPr>
        <w:t>HTML</w:t>
      </w:r>
      <w:r>
        <w:t xml:space="preserve">, </w:t>
      </w:r>
      <w:r>
        <w:rPr>
          <w:i w:val="1"/>
        </w:rPr>
        <w:t>Markdown</w:t>
      </w:r>
      <w:r>
        <w:t xml:space="preserve">, </w:t>
      </w:r>
      <w:r>
        <w:rPr>
          <w:i w:val="1"/>
        </w:rPr>
        <w:t>LaTeX</w:t>
      </w:r>
      <w:r>
        <w:t xml:space="preserve"> (for formulas). </w:t>
      </w:r>
      <w:r>
        <w:rPr>
          <w:i w:val="1"/>
        </w:rPr>
        <w:t>Images</w:t>
      </w:r>
      <w:r>
        <w:t xml:space="preserve"> can be loaded from disk or generated in </w:t>
      </w:r>
      <w:r>
        <w:rPr>
          <w:i w:val="1"/>
        </w:rPr>
        <w:t>Script</w:t>
      </w:r>
      <w:r>
        <w:t xml:space="preserve">, for example </w:t>
      </w:r>
      <w:r>
        <w:rPr>
          <w:b w:val="1"/>
        </w:rPr>
        <w:t>SpreadCommander</w:t>
      </w:r>
      <w:r>
        <w:t xml:space="preserve"> contains cmdlets to load </w:t>
      </w:r>
      <w:r>
        <w:rPr>
          <w:i w:val="1"/>
        </w:rPr>
        <w:t>tables</w:t>
      </w:r>
      <w:r>
        <w:t xml:space="preserve">, </w:t>
      </w:r>
      <w:r>
        <w:rPr>
          <w:i w:val="1"/>
        </w:rPr>
        <w:t>charts</w:t>
      </w:r>
      <w:r>
        <w:t xml:space="preserve">, </w:t>
      </w:r>
      <w:r>
        <w:rPr>
          <w:i w:val="1"/>
        </w:rPr>
        <w:t>pivot tables</w:t>
      </w:r>
      <w:r>
        <w:t xml:space="preserve"> from </w:t>
      </w:r>
      <w:r>
        <w:rPr>
          <w:i w:val="1"/>
        </w:rPr>
        <w:t>spreadsheets</w:t>
      </w:r>
      <w:r>
        <w:t xml:space="preserve"> and to generate </w:t>
      </w:r>
      <w:r>
        <w:rPr>
          <w:i w:val="1"/>
        </w:rPr>
        <w:t>charts</w:t>
      </w:r>
      <w:r>
        <w:t xml:space="preserve"> and </w:t>
      </w:r>
      <w:r>
        <w:rPr>
          <w:i w:val="1"/>
        </w:rPr>
        <w:t>maps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rPr>
          <w:b w:val="1"/>
        </w:rPr>
        <w:t>Spreadsheet</w:t>
      </w:r>
      <w:r>
        <w:t xml:space="preserve"> allows to show tabular data sent from the </w:t>
      </w:r>
      <w:r>
        <w:rPr>
          <w:i w:val="1"/>
        </w:rPr>
        <w:t>Script</w:t>
      </w:r>
      <w:r>
        <w:t xml:space="preserve">. </w:t>
      </w:r>
      <w:r>
        <w:rPr>
          <w:i w:val="1"/>
        </w:rPr>
        <w:t>Data Source</w:t>
      </w:r>
      <w:r>
        <w:t xml:space="preserve"> can be </w:t>
      </w:r>
      <w:r>
        <w:rPr>
          <w:i w:val="1"/>
        </w:rPr>
        <w:t>ADO.Net DataTable</w:t>
      </w:r>
      <w:r>
        <w:t xml:space="preserve"> or list of objects. </w:t>
      </w:r>
      <w:r>
        <w:rPr>
          <w:b w:val="1"/>
        </w:rPr>
        <w:t>Spreadsheet</w:t>
      </w:r>
      <w:r>
        <w:t xml:space="preserve"> allows to add </w:t>
      </w:r>
      <w:r>
        <w:rPr>
          <w:i w:val="1"/>
        </w:rPr>
        <w:t>conditional formatting</w:t>
      </w:r>
      <w:r>
        <w:t xml:space="preserve">, </w:t>
      </w:r>
      <w:r>
        <w:rPr>
          <w:i w:val="1"/>
        </w:rPr>
        <w:t>charts</w:t>
      </w:r>
      <w:r>
        <w:t xml:space="preserve"> and </w:t>
      </w:r>
      <w:r>
        <w:rPr>
          <w:i w:val="1"/>
        </w:rPr>
        <w:t>pivot tables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rPr>
          <w:b w:val="1"/>
        </w:rPr>
        <w:t>Data</w:t>
      </w:r>
      <w:r>
        <w:t xml:space="preserve"> tab contains multiple </w:t>
      </w:r>
      <w:r>
        <w:rPr>
          <w:b w:val="1"/>
        </w:rPr>
        <w:t>Grid</w:t>
      </w:r>
      <w:r>
        <w:t xml:space="preserve"> controls. It accepts same data as </w:t>
      </w:r>
      <w:r>
        <w:rPr>
          <w:b w:val="1"/>
        </w:rPr>
        <w:t>Spreadsheet</w:t>
      </w:r>
      <w:r>
        <w:t xml:space="preserve"> - </w:t>
      </w:r>
      <w:r>
        <w:rPr>
          <w:i w:val="1"/>
        </w:rPr>
        <w:t>ADO.Net DataTable or DataSet</w:t>
      </w:r>
      <w:r>
        <w:t xml:space="preserve"> and list of objects.</w:t>
      </w:r>
    </w:p>
    <w:p>
      <w:pPr>
        <w:pStyle w:val="P7"/>
        <w:numPr>
          <w:ilvl w:val="0"/>
          <w:numId w:val="1"/>
        </w:numPr>
      </w:pPr>
      <w:r>
        <w:rPr>
          <w:b w:val="1"/>
        </w:rPr>
        <w:t>Heap</w:t>
      </w:r>
      <w:r>
        <w:t xml:space="preserve"> is a file browser and viewer for common files - </w:t>
      </w:r>
      <w:r>
        <w:rPr>
          <w:i w:val="1"/>
        </w:rPr>
        <w:t>images</w:t>
      </w:r>
      <w:r>
        <w:t xml:space="preserve">, </w:t>
      </w:r>
      <w:r>
        <w:rPr>
          <w:i w:val="1"/>
        </w:rPr>
        <w:t>text files (including Word files)</w:t>
      </w:r>
      <w:r>
        <w:t xml:space="preserve">, </w:t>
      </w:r>
      <w:r>
        <w:rPr>
          <w:i w:val="1"/>
        </w:rPr>
        <w:t>spreadsheets</w:t>
      </w:r>
      <w:r>
        <w:t xml:space="preserve"> etc.</w:t>
      </w:r>
    </w:p>
    <w:p>
      <w:pPr>
        <w:pStyle w:val="P7"/>
        <w:spacing w:before="240" w:after="240"/>
        <w:ind w:left="0" w:right="0"/>
        <w:jc w:val="both"/>
      </w:pPr>
      <w:r>
        <w:t xml:space="preserve">Main script language in </w:t>
      </w:r>
      <w:r>
        <w:rPr>
          <w:b w:val="1"/>
        </w:rPr>
        <w:t>SpreadCommander</w:t>
      </w:r>
      <w:r>
        <w:t xml:space="preserve"> is </w:t>
      </w:r>
      <w:r>
        <w:rPr>
          <w:i w:val="1"/>
        </w:rPr>
        <w:t>PowerShell</w:t>
      </w:r>
      <w:r>
        <w:t xml:space="preserve">. </w:t>
      </w:r>
      <w:r>
        <w:rPr>
          <w:b w:val="1"/>
        </w:rPr>
        <w:t>SpreadCommander</w:t>
      </w:r>
      <w:r>
        <w:t xml:space="preserve"> includes multiple </w:t>
      </w:r>
      <w:r>
        <w:rPr>
          <w:i w:val="1"/>
        </w:rPr>
        <w:t>Cmdlets</w:t>
      </w:r>
      <w:r>
        <w:t xml:space="preserve"> for rich text output, generating </w:t>
      </w:r>
      <w:r>
        <w:rPr>
          <w:b w:val="1"/>
        </w:rPr>
        <w:t>Charts</w:t>
      </w:r>
      <w:r>
        <w:t xml:space="preserve"> and </w:t>
      </w:r>
      <w:r>
        <w:rPr>
          <w:b w:val="1"/>
        </w:rPr>
        <w:t>Maps</w:t>
      </w:r>
      <w:r>
        <w:t>, output formatted table data etc.</w:t>
      </w:r>
    </w:p>
    <w:p>
      <w:pPr>
        <w:pStyle w:val="P7"/>
      </w:pPr>
      <w:r>
        <w:rPr>
          <w:b w:val="1"/>
        </w:rPr>
        <w:t>SpreadCommander</w:t>
      </w:r>
      <w:r>
        <w:t xml:space="preserve"> also allows to execute </w:t>
      </w:r>
      <w:r>
        <w:rPr>
          <w:i w:val="1"/>
        </w:rPr>
        <w:t>Python</w:t>
      </w:r>
      <w:r>
        <w:t xml:space="preserve"> and </w:t>
      </w:r>
      <w:r>
        <w:rPr>
          <w:i w:val="1"/>
        </w:rPr>
        <w:t>R</w:t>
      </w:r>
      <w:r>
        <w:t xml:space="preserve"> script, if corresponding script engine is installed. At this moment these script engine support only basic functionality; their output is redirected into </w:t>
      </w:r>
      <w:r>
        <w:rPr>
          <w:b w:val="1"/>
        </w:rPr>
        <w:t>Book</w:t>
      </w:r>
      <w:r>
        <w:t xml:space="preserve"> console.</w:t>
      </w:r>
    </w:p>
    <w:p>
      <w:pPr>
        <w:pStyle w:val="P4"/>
        <w:rPr>
          <w:b w:val="1"/>
        </w:rPr>
      </w:pPr>
      <w:r>
        <w:br w:type="page"/>
      </w:r>
      <w:bookmarkStart w:id="1" w:name="_Toc1548699212"/>
      <w:r>
        <w:t xml:space="preserve">Sample use of </w:t>
      </w:r>
      <w:r>
        <w:rPr>
          <w:b w:val="1"/>
        </w:rPr>
        <w:t>Book</w:t>
      </w:r>
      <w:bookmarkEnd w:id="1"/>
    </w:p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Image</w:t>
      </w:r>
    </w:p>
    <w:p>
      <w:r>
        <w:drawing>
          <wp:inline xmlns:wp="http://schemas.openxmlformats.org/drawingml/2006/wordprocessingDrawing" distT="0" distB="0" distL="0" distR="0">
            <wp:extent cx="5448935" cy="231013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31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Write-Latex</w:t>
      </w:r>
    </w:p>
    <w:p>
      <w:r>
        <w:drawing>
          <wp:inline xmlns:wp="http://schemas.openxmlformats.org/drawingml/2006/wordprocessingDrawing" distT="0" distB="0" distL="0" distR="0">
            <wp:extent cx="1167130" cy="18923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88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1526540" cy="222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22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1590675" cy="2133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DataTable</w:t>
      </w:r>
    </w:p>
    <w:tbl>
      <w:tblPr>
        <w:tblW w:w="3840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  <w:t>Region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  <w:t>LandUse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</w:tcPr>
          <w:p>
            <w:pPr>
              <w:shd w:val="clear" w:fill="D7E4BD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East Asia &amp; Pacific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2300DC"/>
            <w:noWrap/>
            <w:tcMar>
              <w:right w:w="60" w:type="dxa"/>
            </w:tcMar>
            <w:vAlign w:val="bottom"/>
          </w:tcPr>
          <w:p>
            <w:pPr>
              <w:shd w:val="clear" w:fill="2300DC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2300DC"/>
              </w:rPr>
              <w:t>24.36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  <w:t>Europe &amp; Central Asia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0000FF"/>
            <w:noWrap/>
            <w:tcMar>
              <w:right w:w="60" w:type="dxa"/>
            </w:tcMar>
            <w:vAlign w:val="bottom"/>
          </w:tcPr>
          <w:p>
            <w:pPr>
              <w:shd w:val="clear" w:fill="0000FF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0000FF"/>
              </w:rPr>
              <w:t>27.43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</w:tcPr>
          <w:p>
            <w:pPr>
              <w:shd w:val="clear" w:fill="D7E4BD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Latin America &amp; Caribbean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5400AB"/>
            <w:noWrap/>
            <w:tcMar>
              <w:right w:w="60" w:type="dxa"/>
            </w:tcMar>
            <w:vAlign w:val="bottom"/>
          </w:tcPr>
          <w:p>
            <w:pPr>
              <w:shd w:val="clear" w:fill="5400AB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5400AB"/>
              </w:rPr>
              <w:t>20.04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  <w:t>Middle East &amp; North Africa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B70048"/>
            <w:noWrap/>
            <w:tcMar>
              <w:right w:w="60" w:type="dxa"/>
            </w:tcMar>
            <w:vAlign w:val="bottom"/>
          </w:tcPr>
          <w:p>
            <w:pPr>
              <w:shd w:val="clear" w:fill="B70048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B70048"/>
              </w:rPr>
              <w:t>11.22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</w:tcPr>
          <w:p>
            <w:pPr>
              <w:shd w:val="clear" w:fill="D7E4BD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North America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680097"/>
            <w:noWrap/>
            <w:tcMar>
              <w:right w:w="60" w:type="dxa"/>
            </w:tcMar>
            <w:vAlign w:val="bottom"/>
          </w:tcPr>
          <w:p>
            <w:pPr>
              <w:shd w:val="clear" w:fill="680097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680097"/>
              </w:rPr>
              <w:t>18.24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  <w:t>South Asia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FF0000"/>
            <w:noWrap/>
            <w:tcMar>
              <w:right w:w="60" w:type="dxa"/>
            </w:tcMar>
            <w:vAlign w:val="bottom"/>
          </w:tcPr>
          <w:p>
            <w:pPr>
              <w:shd w:val="clear" w:fill="FF0000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FF0000"/>
              </w:rPr>
              <w:t>4.77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</w:tcPr>
          <w:p>
            <w:pPr>
              <w:shd w:val="clear" w:fill="D7E4BD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Sub-Saharan Africa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4600B9"/>
            <w:noWrap/>
            <w:tcMar>
              <w:right w:w="60" w:type="dxa"/>
            </w:tcMar>
            <w:vAlign w:val="bottom"/>
          </w:tcPr>
          <w:p>
            <w:pPr>
              <w:shd w:val="clear" w:fill="4600B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4600B9"/>
              </w:rPr>
              <w:t>21.24</w:t>
            </w:r>
          </w:p>
        </w:tc>
      </w:tr>
    </w:tbl>
    <w:p/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Chart</w:t>
      </w:r>
    </w:p>
    <w:p>
      <w:r>
        <w:drawing>
          <wp:inline xmlns:wp="http://schemas.openxmlformats.org/drawingml/2006/wordprocessingDrawing" distT="0" distB="0" distL="0" distR="0">
            <wp:extent cx="6096000" cy="36576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  <w:commentRangeStart w:id="0"/>
      <w:r>
        <w:t xml:space="preserve">Cmdlets that output into </w:t>
      </w:r>
      <w:r>
        <w:rPr>
          <w:b w:val="1"/>
        </w:rPr>
        <w:t>Book</w:t>
      </w:r>
      <w:r>
        <w:t xml:space="preserve"> support comments.</w:t>
      </w:r>
    </w:p>
    <w:p>
      <w:pPr>
        <w:pStyle w:val="P7"/>
      </w:pPr>
      <w:commentRangeEnd w:id="0"/>
      <w:r>
        <w:commentReference w:id="0"/>
      </w:r>
      <w:commentRangeStart w:id="1"/>
      <w:r>
        <w:t>Comments can have HTML formatting.</w:t>
      </w:r>
    </w:p>
    <w:p>
      <w:pPr>
        <w:pStyle w:val="P4"/>
        <w:rPr>
          <w:b w:val="1"/>
        </w:rPr>
      </w:pPr>
      <w:commentRangeEnd w:id="1"/>
      <w:r>
        <w:commentReference w:id="1"/>
      </w:r>
      <w:bookmarkStart w:id="2" w:name="_Toc1755444097"/>
      <w:r>
        <w:t xml:space="preserve">Sample use of </w:t>
      </w:r>
      <w:r>
        <w:rPr>
          <w:b w:val="1"/>
        </w:rPr>
        <w:t>Spreadsheet</w:t>
      </w:r>
      <w:bookmarkEnd w:id="2"/>
    </w:p>
    <w:p>
      <w:pPr>
        <w:pStyle w:val="P7"/>
      </w:pPr>
      <w:r>
        <w:t xml:space="preserve">Cmdlet </w:t>
      </w:r>
      <w:r>
        <w:rPr>
          <w:i w:val="1"/>
        </w:rPr>
        <w:t>Out-SpreadTable</w:t>
      </w:r>
      <w:r>
        <w:t xml:space="preserve"> can also copy output into </w:t>
      </w:r>
      <w:r>
        <w:rPr>
          <w:b w:val="1"/>
        </w:rPr>
        <w:t>Book</w:t>
      </w:r>
      <w:r>
        <w:t>. Do not use this for large tables.</w:t>
      </w:r>
    </w:p>
    <w:tbl>
      <w:tblPr>
        <w:tblW w:w="9600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330"/>
        </w:trPr>
        <w:tc>
          <w:tcPr>
            <w:tcW w:w="0" w:type="auto"/>
            <w:tcBorders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</w:tcPr>
          <w:p>
            <w:pPr>
              <w:shd w:val="clear" w:fill="000000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Income Group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</w:tcPr>
          <w:p>
            <w:pPr>
              <w:shd w:val="clear" w:fill="000000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MinValue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</w:tcPr>
          <w:p>
            <w:pPr>
              <w:shd w:val="clear" w:fill="000000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MaxValue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</w:tcPr>
          <w:p>
            <w:pPr>
              <w:shd w:val="clear" w:fill="000000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AverageValue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</w:tcPr>
          <w:p>
            <w:pPr>
              <w:shd w:val="clear" w:fill="000000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MedianValue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</w:tcPr>
          <w:p>
            <w:pPr>
              <w:shd w:val="clear" w:fill="000000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StdDev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18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left w:w="30" w:type="dxa"/>
            </w:tcMar>
            <w:vAlign w:val="bottom"/>
          </w:tcPr>
          <w:p>
            <w:pPr>
              <w:shd w:val="clear" w:fill="A6A6A6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Low income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2.130219991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34.62021749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7.329210377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5.073245013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9.220794186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left w:w="30" w:type="dxa"/>
            </w:tcMar>
            <w:vAlign w:val="bottom"/>
          </w:tcPr>
          <w:p>
            <w:pPr>
              <w:shd w:val="clear" w:fill="D9D9D9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3.544282152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14.61268286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9.765704843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9.981783794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3.110732155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left w:w="30" w:type="dxa"/>
            </w:tcMar>
            <w:vAlign w:val="bottom"/>
          </w:tcPr>
          <w:p>
            <w:pPr>
              <w:shd w:val="clear" w:fill="A6A6A6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3.094886109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21.82360566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10.49192985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9.992501873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</w:tcPr>
          <w:p>
            <w:pPr>
              <w:shd w:val="clear" w:fill="A6A6A6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4.238014761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left w:w="30" w:type="dxa"/>
            </w:tcMar>
            <w:vAlign w:val="bottom"/>
          </w:tcPr>
          <w:p>
            <w:pPr>
              <w:shd w:val="clear" w:fill="D9D9D9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High income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2.208669375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28.30864989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11.16374491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10.99821889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</w:tcPr>
          <w:p>
            <w:pPr>
              <w:shd w:val="clear" w:fill="D9D9D9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4.938420031</w:t>
            </w:r>
          </w:p>
        </w:tc>
      </w:tr>
    </w:tbl>
    <w:p/>
    <w:p>
      <w:r>
        <w:drawing>
          <wp:inline xmlns:wp="http://schemas.openxmlformats.org/drawingml/2006/wordprocessingDrawing" distT="0" distB="0" distL="0" distR="0">
            <wp:extent cx="5092700" cy="37014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70141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825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Average of 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bottom"/>
          </w:tcPr>
          <w:p>
            <w:pPr>
              <w:shd w:val="clear" w:fill="EBF1DE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Income Group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</w:tr>
      <w:tr>
        <w:trPr>
          <w:trHeight w:hRule="atLeast" w:val="855"/>
        </w:trPr>
        <w:tc>
          <w:tcPr>
            <w:tcW w:w="0" w:type="auto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Region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</w:tcPr>
          <w:p>
            <w:pPr>
              <w:shd w:val="clear" w:fill="EBF1DE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High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</w:tcPr>
          <w:p>
            <w:pPr>
              <w:shd w:val="clear" w:fill="EBF1DE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Low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</w:tcPr>
          <w:p>
            <w:pPr>
              <w:shd w:val="clear" w:fill="EBF1DE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Lower middle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</w:tcPr>
          <w:p>
            <w:pPr>
              <w:shd w:val="clear" w:fill="EBF1DE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Upper middle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EBF1DE"/>
            <w:noWrap w:val="0"/>
            <w:vAlign w:val="center"/>
          </w:tcPr>
          <w:p>
            <w:pPr>
              <w:shd w:val="clear" w:fill="EBF1DE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Grand Total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East Asia &amp; Pacific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12.73296802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10.91340599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7.532528428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11.08635943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Europe &amp; Central Asia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11.81673367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8.02262758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5.0688653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8.673940059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10.26835015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Latin America &amp; Caribbean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10.10152139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4.446386412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8.833551216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13.18363757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11.29508405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Middle East &amp; North Africa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9.249321484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12.86510018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9.088943063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9.830795929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North America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6.842873906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6.842873906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South Asia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5.80203395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11.01533998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21.82360566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12.13433191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Sub-Saharan Africa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</w:tcPr>
          <w:p>
            <w:pPr>
              <w:shd w:val="clear" w:fill="EBF1DE"/>
              <w:ind w:left="0" w:right="0"/>
              <w:rPr>
                <w:rFonts w:ascii="Times New Roman" w:hAnsi="Times New Roman" w:cs="Times New Roman" w:eastAsia="Times New Roman"/>
                <w:sz w:val="24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7.793783276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9.65831995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11.04228845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9.294844909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</w:tcPr>
          <w:p>
            <w:pPr>
              <w:shd w:val="clear" w:fill="D7E4BD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Grand Total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11.16374491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7.329210377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9.765704843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10.49192985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</w:tcPr>
          <w:p>
            <w:pPr>
              <w:shd w:val="clear" w:fill="EBF1DE"/>
              <w:ind w:left="0" w:right="0"/>
              <w:jc w:val="right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10.33309598</w:t>
            </w:r>
          </w:p>
        </w:tc>
      </w:tr>
    </w:tbl>
    <w:p/>
    <w:p>
      <w:pPr>
        <w:pStyle w:val="P4"/>
        <w:rPr>
          <w:b w:val="1"/>
        </w:rPr>
      </w:pPr>
      <w:bookmarkStart w:id="3" w:name="_Toc2047012915"/>
      <w:r>
        <w:t xml:space="preserve">Sample use of </w:t>
      </w:r>
      <w:r>
        <w:rPr>
          <w:b w:val="1"/>
        </w:rPr>
        <w:t>Chart</w:t>
      </w:r>
      <w:bookmarkEnd w:id="3"/>
    </w:p>
    <w:p>
      <w:r>
        <w:drawing>
          <wp:inline xmlns:wp="http://schemas.openxmlformats.org/drawingml/2006/wordprocessingDrawing" distT="0" distB="0" distL="0" distR="0">
            <wp:extent cx="6096000" cy="48768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6096000" cy="73152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  <w:rPr>
          <w:b w:val="1"/>
        </w:rPr>
      </w:pPr>
      <w:bookmarkStart w:id="4" w:name="_Toc1354821476"/>
      <w:r>
        <w:t xml:space="preserve">Sample use of </w:t>
      </w:r>
      <w:r>
        <w:rPr>
          <w:b w:val="1"/>
        </w:rPr>
        <w:t>Map</w:t>
      </w:r>
      <w:bookmarkEnd w:id="4"/>
    </w:p>
    <w:p>
      <w:r>
        <w:drawing>
          <wp:inline xmlns:wp="http://schemas.openxmlformats.org/drawingml/2006/wordprocessingDrawing" distT="0" distB="0" distL="0" distR="0">
            <wp:extent cx="6096635" cy="487743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4877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  <w:rPr>
          <w:b w:val="1"/>
        </w:rPr>
      </w:pPr>
      <w:bookmarkStart w:id="5" w:name="_Toc764306256"/>
      <w:r>
        <w:t xml:space="preserve">Sample use of </w:t>
      </w:r>
      <w:r>
        <w:rPr>
          <w:b w:val="1"/>
        </w:rPr>
        <w:t>SQL script</w:t>
      </w:r>
      <w:r>
        <w:t xml:space="preserve"> and </w:t>
      </w:r>
      <w:r>
        <w:rPr>
          <w:b w:val="1"/>
        </w:rPr>
        <w:t>Data</w:t>
      </w:r>
      <w:bookmarkEnd w:id="5"/>
    </w:p>
    <w:p>
      <w:pPr>
        <w:pStyle w:val="P7"/>
      </w:pPr>
      <w:r>
        <w:rPr>
          <w:b w:val="1"/>
        </w:rPr>
        <w:t>SpreadCommander</w:t>
      </w:r>
      <w:r>
        <w:t xml:space="preserve"> provides advanced features to work with </w:t>
      </w:r>
      <w:r>
        <w:rPr>
          <w:i w:val="1"/>
        </w:rPr>
        <w:t>SQL script</w:t>
      </w:r>
      <w:r>
        <w:t xml:space="preserve"> and display results of executing of </w:t>
      </w:r>
      <w:r>
        <w:rPr>
          <w:i w:val="1"/>
        </w:rPr>
        <w:t>SQL queries</w:t>
      </w:r>
      <w:r>
        <w:t xml:space="preserve">. Check output on console tab </w:t>
      </w:r>
      <w:r>
        <w:rPr>
          <w:b w:val="1"/>
        </w:rPr>
        <w:t>Data</w:t>
      </w:r>
      <w:r>
        <w:t>.</w:t>
      </w:r>
    </w:p>
    <w:p>
      <w:pPr>
        <w:pStyle w:val="P4"/>
        <w:rPr>
          <w:b w:val="1"/>
        </w:rPr>
      </w:pPr>
      <w:bookmarkStart w:id="6" w:name="_Toc1324222700"/>
      <w:r>
        <w:t xml:space="preserve">Sample use of </w:t>
      </w:r>
      <w:r>
        <w:rPr>
          <w:b w:val="1"/>
        </w:rPr>
        <w:t>Math symbolic calculations</w:t>
      </w:r>
      <w:bookmarkEnd w:id="6"/>
    </w:p>
    <w:p>
      <w:r>
        <w:drawing>
          <wp:inline xmlns:wp="http://schemas.openxmlformats.org/drawingml/2006/wordprocessingDrawing" distT="0" distB="0" distL="0" distR="0">
            <wp:extent cx="1490345" cy="3200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  <w:r>
        <w:rPr>
          <w:b w:val="1"/>
        </w:rPr>
        <w:t>SpreadCommander</w:t>
      </w:r>
      <w:r>
        <w:t xml:space="preserve"> allows advanced data visualization controls - </w:t>
      </w:r>
      <w:r>
        <w:rPr>
          <w:i w:val="1"/>
        </w:rPr>
        <w:t>Chart</w:t>
      </w:r>
      <w:r>
        <w:t xml:space="preserve">, </w:t>
      </w:r>
      <w:r>
        <w:rPr>
          <w:i w:val="1"/>
        </w:rPr>
        <w:t>Pivot table</w:t>
      </w:r>
      <w:r>
        <w:t xml:space="preserve"> and </w:t>
      </w:r>
      <w:r>
        <w:rPr>
          <w:i w:val="1"/>
        </w:rPr>
        <w:t>Dashboard</w:t>
      </w:r>
      <w:r>
        <w:t xml:space="preserve">. Check example </w:t>
      </w:r>
      <w:r>
        <w:rPr>
          <w:b w:val="1"/>
        </w:rPr>
        <w:t>Controls</w:t>
      </w:r>
      <w:r>
        <w:t xml:space="preserve"> for more details.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7" w:name="_Toc548166431"/>
      <w:r>
        <w:t>Table of Contents</w:t>
      </w:r>
      <w:bookmarkEnd w:id="7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GETTING STARTED</w:t>
        <w:tab/>
      </w:r>
      <w:r>
        <w:fldChar w:fldCharType="begin"/>
      </w:r>
      <w:r>
        <w:instrText>PAGEREF _Toc1516656382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Book</w:t>
        <w:tab/>
      </w:r>
      <w:r>
        <w:fldChar w:fldCharType="begin"/>
      </w:r>
      <w:r>
        <w:instrText>PAGEREF _Toc1548699212</w:instrText>
      </w:r>
      <w:r>
        <w:fldChar w:fldCharType="separate"/>
      </w:r>
      <w:r>
        <w:t>2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Spreadsheet</w:t>
        <w:tab/>
      </w:r>
      <w:r>
        <w:fldChar w:fldCharType="begin"/>
      </w:r>
      <w:r>
        <w:instrText>PAGEREF _Toc1755444097</w:instrText>
      </w:r>
      <w:r>
        <w:fldChar w:fldCharType="separate"/>
      </w:r>
      <w:r>
        <w:t>3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Chart</w:t>
        <w:tab/>
      </w:r>
      <w:r>
        <w:fldChar w:fldCharType="begin"/>
      </w:r>
      <w:r>
        <w:instrText>PAGEREF _Toc2047012915</w:instrText>
      </w:r>
      <w:r>
        <w:fldChar w:fldCharType="separate"/>
      </w:r>
      <w:r>
        <w:t>4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Map</w:t>
        <w:tab/>
      </w:r>
      <w:r>
        <w:fldChar w:fldCharType="begin"/>
      </w:r>
      <w:r>
        <w:instrText>PAGEREF _Toc1354821476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SQL script and Data</w:t>
        <w:tab/>
      </w:r>
      <w:r>
        <w:fldChar w:fldCharType="begin"/>
      </w:r>
      <w:r>
        <w:instrText>PAGEREF _Toc764306256</w:instrText>
      </w:r>
      <w:r>
        <w:fldChar w:fldCharType="separate"/>
      </w:r>
      <w:r>
        <w:t>7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Math symbolic calculations</w:t>
        <w:tab/>
      </w:r>
      <w:r>
        <w:fldChar w:fldCharType="begin"/>
      </w:r>
      <w:r>
        <w:instrText>PAGEREF _Toc1324222700</w:instrText>
      </w:r>
      <w:r>
        <w:fldChar w:fldCharType="separate"/>
      </w:r>
      <w:r>
        <w:t>7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_Toc548166431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comment w:id="0" w:author="VVV" w:date="2020-01-24T18:03:57Z" w:initials="VVV">
    <w:p w14:paraId="00000001">
      <w:r>
        <w:t>This paragraph has comment.</w:t>
      </w:r>
    </w:p>
  </w:comment>
  <w:comment w:id="1" w:author="VVV" w:date="2020-01-24T18:03:57Z" w:initials="VVV">
    <w:p w14:paraId="00000002">
      <w:r>
        <w:rPr>
          <w:rFonts w:ascii="Times New Roman" w:hAnsi="Times New Roman" w:cs="Times New Roman" w:eastAsia="Times New Roman"/>
          <w:sz w:val="24"/>
        </w:rPr>
        <w:t xml:space="preserve">This paragraph has </w:t>
      </w:r>
      <w:r>
        <w:rPr>
          <w:rFonts w:ascii="Times New Roman" w:hAnsi="Times New Roman" w:cs="Times New Roman" w:eastAsia="Times New Roman"/>
          <w:b w:val="1"/>
          <w:sz w:val="24"/>
        </w:rPr>
        <w:t>HTML</w:t>
      </w:r>
      <w:r>
        <w:rPr>
          <w:rFonts w:ascii="Times New Roman" w:hAnsi="Times New Roman" w:cs="Times New Roman" w:eastAsia="Times New Roman"/>
          <w:sz w:val="24"/>
        </w:rPr>
        <w:t>-</w:t>
      </w:r>
      <w:r>
        <w:rPr>
          <w:rFonts w:ascii="Times New Roman" w:hAnsi="Times New Roman" w:cs="Times New Roman" w:eastAsia="Times New Roman"/>
          <w:i w:val="1"/>
          <w:sz w:val="24"/>
        </w:rPr>
        <w:t>formatted</w:t>
      </w:r>
      <w:r>
        <w:rPr>
          <w:rFonts w:ascii="Times New Roman" w:hAnsi="Times New Roman" w:cs="Times New Roman" w:eastAsia="Times New Roman"/>
          <w:sz w:val="24"/>
        </w:rPr>
        <w:t xml:space="preserve"> comment.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15:commentEx w15:paraId="00000001" w15:done="0"/>
  <w15:commentEx w15:paraId="00000002" w15:done="0"/>
</w15:commentsEx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Getting Started</w:t>
    </w:r>
  </w:p>
</w:hdr>
</file>

<file path=word/numbering.xml><?xml version="1.0" encoding="utf-8"?>
<w:numbering xmlns:w="http://schemas.openxmlformats.org/wordprocessingml/2006/main">
  <w:abstractNum w:abstractNumId="0">
    <w:nsid w:val="51D7E14B"/>
    <w:multiLevelType w:val="hybridMultilevel"/>
    <w:lvl w:ilvl="0" w:tplc="138F95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4E2D4D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9630FB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990E3A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9815D4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FF20E5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E15BEA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7B1409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BF8056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</w:pPr>
    <w:rPr/>
  </w:style>
  <w:style w:type="paragraph" w:styleId="P11">
    <w:name w:val="TOC 4"/>
    <w:basedOn w:val="P0"/>
    <w:pPr>
      <w:spacing w:after="100"/>
      <w:ind w:left="663"/>
    </w:pPr>
    <w:rPr/>
  </w:style>
  <w:style w:type="paragraph" w:styleId="P12">
    <w:name w:val="TOC 2"/>
    <w:basedOn w:val="P0"/>
    <w:pPr>
      <w:spacing w:after="100"/>
      <w:ind w:left="22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emf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2020-01-24T15:03:56Z</dcterms:created>
  <cp:revision>1</cp:revision>
</cp:coreProperties>
</file>