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pStyle w:val="P1"/>
      </w:pPr>
      <w:bookmarkStart w:id="0" w:name="_Toc607289834"/>
      <w:r>
        <w:t>SQL</w:t>
      </w:r>
      <w:bookmarkEnd w:id="0"/>
    </w:p>
    <w:p>
      <w:pPr>
        <w:pStyle w:val="P8"/>
      </w:pPr>
      <w:r>
        <w:rPr>
          <w:b w:val="1"/>
        </w:rPr>
        <w:t>SpreadCommander</w:t>
      </w:r>
      <w:r>
        <w:t xml:space="preserve"> includes a control to work with </w:t>
      </w:r>
      <w:r>
        <w:rPr>
          <w:b w:val="1"/>
        </w:rPr>
        <w:t>SQL</w:t>
      </w:r>
      <w:r>
        <w:t xml:space="preserve"> queries. </w:t>
      </w:r>
      <w:r>
        <w:rPr>
          <w:b w:val="1"/>
        </w:rPr>
        <w:t>SpreadCommander</w:t>
      </w:r>
      <w:r>
        <w:t xml:space="preserve"> contains optimized connections for </w:t>
      </w:r>
      <w:r>
        <w:rPr>
          <w:i w:val="1"/>
        </w:rPr>
        <w:t>MS SQL Server</w:t>
      </w:r>
      <w:r>
        <w:t xml:space="preserve">, </w:t>
      </w:r>
      <w:r>
        <w:rPr>
          <w:i w:val="1"/>
        </w:rPr>
        <w:t>MySQL</w:t>
      </w:r>
      <w:r>
        <w:t xml:space="preserve"> and </w:t>
      </w:r>
      <w:r>
        <w:rPr>
          <w:i w:val="1"/>
        </w:rPr>
        <w:t>SQLite</w:t>
      </w:r>
      <w:r>
        <w:t xml:space="preserve"> providers; it also allows to connect to </w:t>
      </w:r>
      <w:r>
        <w:rPr>
          <w:i w:val="1"/>
        </w:rPr>
        <w:t>ODBC</w:t>
      </w:r>
      <w:r>
        <w:t xml:space="preserve"> and </w:t>
      </w:r>
      <w:r>
        <w:rPr>
          <w:i w:val="1"/>
        </w:rPr>
        <w:t>OLEDB</w:t>
      </w:r>
      <w:r>
        <w:t xml:space="preserve"> providers.</w:t>
      </w:r>
    </w:p>
    <w:p>
      <w:pPr>
        <w:pStyle w:val="P7"/>
        <w:spacing w:before="240" w:after="240"/>
        <w:ind w:left="0" w:right="0"/>
        <w:jc w:val="both"/>
      </w:pPr>
      <w:r>
        <w:rPr>
          <w:b w:val="1"/>
        </w:rPr>
        <w:t>SpreadCommander</w:t>
      </w:r>
      <w:r>
        <w:t xml:space="preserve"> provides </w:t>
      </w:r>
      <w:r>
        <w:rPr>
          <w:i w:val="1"/>
        </w:rPr>
        <w:t>cmdlets</w:t>
      </w:r>
      <w:r>
        <w:t xml:space="preserve"> to simplify work with databases.</w:t>
      </w:r>
    </w:p>
    <w:p>
      <w:pPr>
        <w:pStyle w:val="P7"/>
        <w:spacing w:before="240" w:after="240"/>
        <w:ind w:left="0" w:right="0"/>
        <w:jc w:val="both"/>
      </w:pPr>
      <w:r>
        <w:t xml:space="preserve">Connectuons (connection strings) can be stored with </w:t>
      </w:r>
      <w:r>
        <w:rPr>
          <w:i w:val="1"/>
        </w:rPr>
        <w:t>cmdlet</w:t>
      </w:r>
      <w:r>
        <w:t xml:space="preserve"> </w:t>
      </w:r>
      <w:r>
        <w:rPr>
          <w:i w:val="1"/>
        </w:rPr>
        <w:t>Set-DbConnenection</w:t>
      </w:r>
      <w:r>
        <w:t xml:space="preserve"> and retrieved by name with </w:t>
      </w:r>
      <w:r>
        <w:rPr>
          <w:i w:val="1"/>
        </w:rPr>
        <w:t>cmdlet</w:t>
      </w:r>
      <w:r>
        <w:t xml:space="preserve"> </w:t>
      </w:r>
      <w:r>
        <w:rPr>
          <w:i w:val="1"/>
        </w:rPr>
        <w:t>Get-DbConnection</w:t>
      </w:r>
      <w:r>
        <w:t xml:space="preserve">. Although </w:t>
      </w:r>
      <w:r>
        <w:rPr>
          <w:b w:val="1"/>
        </w:rPr>
        <w:t>SpreadCommander</w:t>
      </w:r>
      <w:r>
        <w:t xml:space="preserve"> encrypts connection strings, it is an application with open source code so storing passwords this way is not completely reliable, when possible it is recommended to use </w:t>
      </w:r>
      <w:r>
        <w:rPr>
          <w:i w:val="1"/>
        </w:rPr>
        <w:t>Windows authentication</w:t>
      </w:r>
      <w:r>
        <w:t>.</w:t>
      </w:r>
    </w:p>
    <w:p>
      <w:pPr>
        <w:pStyle w:val="P7"/>
        <w:spacing w:before="240" w:after="240"/>
        <w:ind w:left="0" w:right="0"/>
        <w:jc w:val="both"/>
      </w:pPr>
      <w:r>
        <w:rPr>
          <w:i w:val="1"/>
        </w:rPr>
        <w:t>Cmdlet</w:t>
      </w:r>
      <w:r>
        <w:t xml:space="preserve"> </w:t>
      </w:r>
      <w:r>
        <w:rPr>
          <w:i w:val="1"/>
        </w:rPr>
        <w:t>Get-DbConnection</w:t>
      </w:r>
      <w:r>
        <w:t xml:space="preserve"> allows to specify not only name of saved connection but also simplified connection string. SQLite allows to specify file path under project directory with '~\' (i.e. '~\Data\mydb.sqlite' is file mydb.sqlite in folder Data under project's root directory. Supported custom connection strings are:</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sqlite:</w:t>
            </w:r>
          </w:p>
        </w:tc>
        <w:tc>
          <w:tcPr>
            <w:tcW w:w="0" w:type="auto"/>
            <w:vAlign w:val="center"/>
            <w:hideMark/>
          </w:tcPr>
          <w:p>
            <w:pPr>
              <w:pStyle w:val="P7"/>
              <w:ind w:left="0" w:right="0"/>
              <w:jc w:val="both"/>
            </w:pPr>
            <w:r>
              <w:rPr>
                <w:i w:val="1"/>
              </w:rPr>
              <w:t>SQLite</w:t>
            </w:r>
            <w:r>
              <w:t xml:space="preserve"> database. First part of connection string is </w:t>
            </w:r>
            <w:r>
              <w:rPr>
                <w:i w:val="1"/>
              </w:rPr>
              <w:t>Data Source</w:t>
            </w:r>
            <w:r>
              <w:t>. For example 'sqlite:~\Data\MyDb.sqlite' opens connection to database located in file Data\MyDb.sqlite under current project's directory.</w:t>
            </w:r>
          </w:p>
        </w:tc>
      </w:tr>
      <w:tr>
        <w:tc>
          <w:tcPr>
            <w:tcW w:w="0" w:type="auto"/>
            <w:vAlign w:val="center"/>
            <w:hideMark/>
          </w:tcPr>
          <w:p>
            <w:pPr>
              <w:pStyle w:val="P7"/>
              <w:ind w:left="0" w:right="0"/>
            </w:pPr>
            <w:r>
              <w:rPr>
                <w:b w:val="1"/>
              </w:rPr>
              <w:t>mssql:</w:t>
            </w:r>
          </w:p>
        </w:tc>
        <w:tc>
          <w:tcPr>
            <w:tcW w:w="0" w:type="auto"/>
            <w:vAlign w:val="center"/>
            <w:hideMark/>
          </w:tcPr>
          <w:p>
            <w:pPr>
              <w:pStyle w:val="P7"/>
              <w:ind w:left="0" w:right="0"/>
              <w:jc w:val="both"/>
            </w:pPr>
            <w:r>
              <w:t xml:space="preserve">Prefix for </w:t>
            </w:r>
            <w:r>
              <w:rPr>
                <w:i w:val="1"/>
              </w:rPr>
              <w:t>Microsoft SQL Server</w:t>
            </w:r>
            <w:r>
              <w:t xml:space="preserve"> database. First part of connection string is </w:t>
            </w:r>
            <w:r>
              <w:rPr>
                <w:i w:val="1"/>
              </w:rPr>
              <w:t>Database</w:t>
            </w:r>
            <w:r>
              <w:t>. Default server can be stored in settings; if User ID is provided - it will be used, if no - Windows authentication will be used. Connection to default server allows to not specify it in connection string. For example 'mssql:Northwind' opens connection to database Northwind located at default server (it has to be configured in settings) using Windows authentication; 'mssql:Northwind;Server=RemoteServer\ServerName;User ID=user;Password=pwd' connects to database Northwind at server specified in connection string.</w:t>
            </w:r>
          </w:p>
        </w:tc>
      </w:tr>
      <w:tr>
        <w:tc>
          <w:tcPr>
            <w:tcW w:w="0" w:type="auto"/>
            <w:vAlign w:val="center"/>
            <w:hideMark/>
          </w:tcPr>
          <w:p>
            <w:pPr>
              <w:pStyle w:val="P7"/>
              <w:ind w:left="0" w:right="0"/>
            </w:pPr>
            <w:r>
              <w:rPr>
                <w:b w:val="1"/>
              </w:rPr>
              <w:t>mysql:</w:t>
            </w:r>
          </w:p>
        </w:tc>
        <w:tc>
          <w:tcPr>
            <w:tcW w:w="0" w:type="auto"/>
            <w:vAlign w:val="center"/>
            <w:hideMark/>
          </w:tcPr>
          <w:p>
            <w:pPr>
              <w:pStyle w:val="P7"/>
              <w:ind w:left="0" w:right="0"/>
              <w:jc w:val="both"/>
            </w:pPr>
            <w:r>
              <w:t xml:space="preserve">Prefix for </w:t>
            </w:r>
            <w:r>
              <w:rPr>
                <w:i w:val="1"/>
              </w:rPr>
              <w:t>MySQL</w:t>
            </w:r>
            <w:r>
              <w:t xml:space="preserve"> database. First part of connection string is </w:t>
            </w:r>
            <w:r>
              <w:rPr>
                <w:i w:val="1"/>
              </w:rPr>
              <w:t>Database</w:t>
            </w:r>
            <w:r>
              <w:t xml:space="preserve">. Default server can be stored in settings. Connection to default server allows to not specify it in connection string. For example 'mysql:world' opens connection to database World located at default server (it has to be configured in settings); 'mysql:World;Server=127.0.0.1;User ID=user;Password=pwd' connects to database World at server specified in connection string. </w:t>
            </w:r>
          </w:p>
        </w:tc>
      </w:tr>
      <w:tr>
        <w:tc>
          <w:tcPr>
            <w:tcW w:w="0" w:type="auto"/>
            <w:vAlign w:val="center"/>
            <w:hideMark/>
          </w:tcPr>
          <w:p>
            <w:pPr>
              <w:pStyle w:val="P7"/>
              <w:ind w:left="0" w:right="0"/>
            </w:pPr>
            <w:r>
              <w:rPr>
                <w:b w:val="1"/>
              </w:rPr>
              <w:t>odbc:</w:t>
            </w:r>
          </w:p>
        </w:tc>
        <w:tc>
          <w:tcPr>
            <w:tcW w:w="0" w:type="auto"/>
            <w:vAlign w:val="center"/>
            <w:hideMark/>
          </w:tcPr>
          <w:p>
            <w:pPr>
              <w:pStyle w:val="P7"/>
              <w:ind w:left="0" w:right="0"/>
              <w:jc w:val="both"/>
            </w:pPr>
            <w:r>
              <w:t xml:space="preserve">Prefix for </w:t>
            </w:r>
            <w:r>
              <w:rPr>
                <w:i w:val="1"/>
              </w:rPr>
              <w:t>ODBC</w:t>
            </w:r>
            <w:r>
              <w:t xml:space="preserve"> database. Requires full connection string.</w:t>
            </w:r>
          </w:p>
        </w:tc>
      </w:tr>
      <w:tr>
        <w:tc>
          <w:tcPr>
            <w:tcW w:w="0" w:type="auto"/>
            <w:vAlign w:val="center"/>
            <w:hideMark/>
          </w:tcPr>
          <w:p>
            <w:pPr>
              <w:pStyle w:val="P7"/>
              <w:ind w:left="0" w:right="0"/>
            </w:pPr>
            <w:r>
              <w:rPr>
                <w:b w:val="1"/>
              </w:rPr>
              <w:t>oldeb:</w:t>
            </w:r>
          </w:p>
        </w:tc>
        <w:tc>
          <w:tcPr>
            <w:tcW w:w="0" w:type="auto"/>
            <w:vAlign w:val="center"/>
            <w:hideMark/>
          </w:tcPr>
          <w:p>
            <w:pPr>
              <w:pStyle w:val="P7"/>
              <w:ind w:left="0" w:right="0"/>
              <w:jc w:val="both"/>
            </w:pPr>
            <w:r>
              <w:t xml:space="preserve">Prefix for </w:t>
            </w:r>
            <w:r>
              <w:rPr>
                <w:i w:val="1"/>
              </w:rPr>
              <w:t>OLEDB</w:t>
            </w:r>
            <w:r>
              <w:t xml:space="preserve"> database. Requires full connection string.</w:t>
            </w:r>
          </w:p>
        </w:tc>
      </w:tr>
    </w:tbl>
    <w:p>
      <w:pPr>
        <w:pStyle w:val="P7"/>
      </w:pPr>
    </w:p>
    <w:p>
      <w:pPr>
        <w:pStyle w:val="P8"/>
      </w:pPr>
      <w:r>
        <w:t>Current script is accompanied with script file ReadMe.ps1 with source code.</w:t>
      </w:r>
    </w:p>
    <w:p>
      <w:pPr>
        <w:pStyle w:val="P2"/>
      </w:pPr>
      <w:r>
        <w:br w:type="page"/>
      </w:r>
      <w:bookmarkStart w:id="1" w:name="_Toc2020708896"/>
      <w:r>
        <w:t>Extended SQL syntax</w:t>
      </w:r>
      <w:bookmarkEnd w:id="1"/>
    </w:p>
    <w:p>
      <w:pPr>
        <w:pStyle w:val="P7"/>
        <w:spacing w:before="240" w:after="240"/>
        <w:ind w:left="0" w:right="0"/>
        <w:jc w:val="both"/>
      </w:pPr>
      <w:r>
        <w:rPr>
          <w:b w:val="1"/>
        </w:rPr>
        <w:t>SpreadCommander</w:t>
      </w:r>
      <w:r>
        <w:t xml:space="preserve"> supports extended syntax for </w:t>
      </w:r>
      <w:r>
        <w:rPr>
          <w:i w:val="1"/>
        </w:rPr>
        <w:t>SQL queries</w:t>
      </w:r>
      <w:r>
        <w:t xml:space="preserve">. In addition to </w:t>
      </w:r>
      <w:r>
        <w:rPr>
          <w:i w:val="1"/>
        </w:rPr>
        <w:t>SQL</w:t>
      </w:r>
      <w:r>
        <w:t xml:space="preserve"> commands that will be sent to the </w:t>
      </w:r>
      <w:r>
        <w:rPr>
          <w:i w:val="1"/>
        </w:rPr>
        <w:t>SQL Server</w:t>
      </w:r>
      <w:r>
        <w:t xml:space="preserve"> and executed, </w:t>
      </w:r>
      <w:r>
        <w:rPr>
          <w:b w:val="1"/>
        </w:rPr>
        <w:t>SpreadCommander</w:t>
      </w:r>
      <w:r>
        <w:t xml:space="preserve"> supports </w:t>
      </w:r>
      <w:r>
        <w:rPr>
          <w:i w:val="1"/>
        </w:rPr>
        <w:t>client-side commands</w:t>
      </w:r>
      <w:r>
        <w:t>.</w:t>
      </w:r>
    </w:p>
    <w:p>
      <w:pPr>
        <w:pStyle w:val="P7"/>
        <w:spacing w:before="240" w:after="240"/>
        <w:ind w:left="0" w:right="0"/>
        <w:jc w:val="both"/>
      </w:pPr>
      <w:r>
        <w:rPr>
          <w:i w:val="1"/>
        </w:rPr>
        <w:t>Server-side commands</w:t>
      </w:r>
      <w:r>
        <w:t xml:space="preserve"> determine which data will be returned from the </w:t>
      </w:r>
      <w:r>
        <w:rPr>
          <w:i w:val="1"/>
        </w:rPr>
        <w:t>SQL Server</w:t>
      </w:r>
      <w:r>
        <w:t>.</w:t>
      </w:r>
    </w:p>
    <w:p>
      <w:pPr>
        <w:pStyle w:val="P7"/>
        <w:spacing w:before="240" w:after="240"/>
        <w:ind w:left="0" w:right="0"/>
        <w:jc w:val="both"/>
      </w:pPr>
      <w:r>
        <w:rPr>
          <w:i w:val="1"/>
        </w:rPr>
        <w:t>Client-side commands</w:t>
      </w:r>
      <w:r>
        <w:t xml:space="preserve"> determine how data will be presented at client side. This includes table names, formatting, relations (master-detail) between tables. </w:t>
      </w:r>
      <w:r>
        <w:rPr>
          <w:i w:val="1"/>
        </w:rPr>
        <w:t>Table</w:t>
      </w:r>
      <w:r>
        <w:t xml:space="preserve"> here means table in a </w:t>
      </w:r>
      <w:r>
        <w:rPr>
          <w:i w:val="1"/>
        </w:rPr>
        <w:t>DataSet</w:t>
      </w:r>
      <w:r>
        <w:t xml:space="preserve"> at client, not table in database.</w:t>
      </w:r>
    </w:p>
    <w:p>
      <w:pPr>
        <w:pStyle w:val="P7"/>
        <w:spacing w:before="240" w:after="240"/>
        <w:ind w:left="0" w:right="0"/>
        <w:jc w:val="both"/>
      </w:pPr>
      <w:r>
        <w:t xml:space="preserve">Look at script </w:t>
      </w:r>
      <w:r>
        <w:rPr>
          <w:i w:val="1"/>
        </w:rPr>
        <w:t>SampleData.sql</w:t>
      </w:r>
      <w:r>
        <w:t xml:space="preserve"> in this project for an example for </w:t>
      </w:r>
      <w:r>
        <w:rPr>
          <w:i w:val="1"/>
        </w:rPr>
        <w:t>client-side commands</w:t>
      </w:r>
      <w:r>
        <w:t xml:space="preserve"> in SQL script. </w:t>
      </w:r>
      <w:r>
        <w:rPr>
          <w:i w:val="1"/>
        </w:rPr>
        <w:t>Client-side commands</w:t>
      </w:r>
      <w:r>
        <w:t xml:space="preserve"> are replaced with spaces before sending command to </w:t>
      </w:r>
      <w:r>
        <w:rPr>
          <w:i w:val="1"/>
        </w:rPr>
        <w:t>SQL Server</w:t>
      </w:r>
      <w:r>
        <w:t xml:space="preserve"> and will work even if </w:t>
      </w:r>
      <w:r>
        <w:rPr>
          <w:i w:val="1"/>
        </w:rPr>
        <w:t>SQL Server</w:t>
      </w:r>
      <w:r>
        <w:t xml:space="preserve"> does not support comments.</w:t>
      </w:r>
    </w:p>
    <w:p>
      <w:pPr>
        <w:pStyle w:val="P7"/>
        <w:spacing w:before="240" w:after="240"/>
        <w:ind w:left="0" w:right="0"/>
        <w:jc w:val="both"/>
      </w:pPr>
      <w:r>
        <w:rPr>
          <w:i w:val="1"/>
        </w:rPr>
        <w:t>Client-side commands</w:t>
      </w:r>
      <w:r>
        <w:t xml:space="preserve"> start with prefix </w:t>
      </w:r>
      <w:r>
        <w:rPr>
          <w:color w:val="008000"/>
        </w:rPr>
        <w:t>--#</w:t>
      </w:r>
      <w:r>
        <w:t xml:space="preserve"> and continue to end of line, or embedded into block </w:t>
      </w:r>
      <w:r>
        <w:rPr>
          <w:color w:val="008000"/>
        </w:rPr>
        <w:t>/*#...#*/</w:t>
      </w:r>
      <w:r>
        <w:t xml:space="preserve"> (where '...' is command text). In latter case commands are separated with semicolor.</w:t>
      </w:r>
    </w:p>
    <w:p>
      <w:pPr>
        <w:pStyle w:val="P7"/>
      </w:pPr>
      <w:r>
        <w:rPr>
          <w:i w:val="1"/>
        </w:rPr>
        <w:t>Client-side commands</w:t>
      </w:r>
      <w:r>
        <w:t xml:space="preserve"> can be located anywhere in </w:t>
      </w:r>
      <w:r>
        <w:rPr>
          <w:i w:val="1"/>
        </w:rPr>
        <w:t>script command</w:t>
      </w:r>
      <w:r>
        <w:t xml:space="preserve"> (i.e. anywhere between GO lines). Table name assigned with command </w:t>
      </w:r>
      <w:r>
        <w:rPr>
          <w:i w:val="1"/>
        </w:rPr>
        <w:t>TABLE</w:t>
      </w:r>
      <w:r>
        <w:t xml:space="preserve"> will be applied to first, second etc. result set returned from </w:t>
      </w:r>
      <w:r>
        <w:rPr>
          <w:i w:val="1"/>
        </w:rPr>
        <w:t>script command</w:t>
      </w:r>
      <w:r>
        <w:t xml:space="preserve">, not necessarry to result set that gramatically follows command </w:t>
      </w:r>
      <w:r>
        <w:rPr>
          <w:i w:val="1"/>
        </w:rPr>
        <w:t>TABLE</w:t>
      </w:r>
      <w:r>
        <w:t>.</w:t>
      </w:r>
    </w:p>
    <w:p>
      <w:pPr>
        <w:pStyle w:val="P3"/>
      </w:pPr>
      <w:bookmarkStart w:id="2" w:name="_Toc576473370"/>
      <w:r>
        <w:t>Command TABLE</w:t>
      </w:r>
      <w:bookmarkEnd w:id="2"/>
    </w:p>
    <w:p>
      <w:pPr>
        <w:pStyle w:val="P7"/>
        <w:spacing w:before="240" w:after="240"/>
        <w:ind w:left="0" w:right="0"/>
        <w:jc w:val="both"/>
      </w:pPr>
      <w:r>
        <w:t xml:space="preserve">First command is </w:t>
      </w:r>
      <w:r>
        <w:rPr>
          <w:i w:val="1"/>
        </w:rPr>
        <w:t>TABLE</w:t>
      </w:r>
      <w:r>
        <w:t xml:space="preserve">. It allows to specify table in at client side. This table name will be displayed as tab header in </w:t>
      </w:r>
      <w:r>
        <w:rPr>
          <w:i w:val="1"/>
        </w:rPr>
        <w:t>Data grid</w:t>
      </w:r>
      <w:r>
        <w:t xml:space="preserve"> and it is used in other commands (</w:t>
      </w:r>
      <w:r>
        <w:rPr>
          <w:i w:val="1"/>
        </w:rPr>
        <w:t>FORMAT CONDITION</w:t>
      </w:r>
      <w:r>
        <w:t xml:space="preserve">, </w:t>
      </w:r>
      <w:r>
        <w:rPr>
          <w:i w:val="1"/>
        </w:rPr>
        <w:t>RELATION</w:t>
      </w:r>
      <w:r>
        <w:t xml:space="preserve">) to refer current table. Command </w:t>
      </w:r>
      <w:r>
        <w:rPr>
          <w:i w:val="1"/>
        </w:rPr>
        <w:t>TABLE</w:t>
      </w:r>
      <w:r>
        <w:t xml:space="preserve"> accepts properties </w:t>
      </w:r>
      <w:r>
        <w:rPr>
          <w:i w:val="1"/>
        </w:rPr>
        <w:t>GroupBy</w:t>
      </w:r>
      <w:r>
        <w:t xml:space="preserve"> and </w:t>
      </w:r>
      <w:r>
        <w:rPr>
          <w:i w:val="1"/>
        </w:rPr>
        <w:t>OrderBy</w:t>
      </w:r>
      <w:r>
        <w:t xml:space="preserve">, these properties define how data will be shown in </w:t>
      </w:r>
      <w:r>
        <w:rPr>
          <w:b w:val="1"/>
        </w:rPr>
        <w:t>Grid</w:t>
      </w:r>
      <w:r>
        <w:t>.</w:t>
      </w:r>
    </w:p>
    <w:p>
      <w:pPr>
        <w:pStyle w:val="P7"/>
        <w:rPr>
          <w:color w:val="008000"/>
        </w:rPr>
      </w:pPr>
      <w:r>
        <w:rPr>
          <w:color w:val="008000"/>
        </w:rPr>
        <w:t>--#table Series with GroupBy="Topic Group", OrderBy="Topic Part desc";</w:t>
      </w:r>
    </w:p>
    <w:p>
      <w:pPr>
        <w:pStyle w:val="P3"/>
      </w:pPr>
      <w:bookmarkStart w:id="3" w:name="_Toc2059071057"/>
      <w:r>
        <w:t>Command FORMAT CONDITION</w:t>
      </w:r>
      <w:bookmarkEnd w:id="3"/>
    </w:p>
    <w:p>
      <w:pPr>
        <w:pStyle w:val="P7"/>
        <w:spacing w:before="240" w:after="240"/>
        <w:ind w:left="0" w:right="0"/>
        <w:jc w:val="both"/>
      </w:pPr>
      <w:r>
        <w:t xml:space="preserve">Command </w:t>
      </w:r>
      <w:r>
        <w:rPr>
          <w:i w:val="1"/>
        </w:rPr>
        <w:t>FORMAT CONDITION</w:t>
      </w:r>
      <w:r>
        <w:t xml:space="preserve"> allows to specify conditional formatting for data returned from </w:t>
      </w:r>
      <w:r>
        <w:rPr>
          <w:i w:val="1"/>
        </w:rPr>
        <w:t>SQL Server</w:t>
      </w:r>
      <w:r>
        <w:t>.</w:t>
      </w:r>
    </w:p>
    <w:p>
      <w:pPr>
        <w:pStyle w:val="P7"/>
        <w:spacing w:before="240" w:after="240"/>
        <w:ind w:left="0" w:right="0"/>
        <w:rPr>
          <w:color w:val="008000"/>
        </w:rPr>
      </w:pPr>
      <w:r>
        <w:rPr>
          <w:color w:val="008000"/>
        </w:rPr>
        <w:t>--#format table Series column [Indicator Name] for "Contains([Indicator Name], 'Agricultural')" with BackColor=Green, ForeColor=White;</w:t>
      </w:r>
    </w:p>
    <w:p>
      <w:pPr>
        <w:pStyle w:val="P7"/>
        <w:spacing w:before="240" w:after="240"/>
        <w:ind w:left="0" w:right="0"/>
        <w:rPr>
          <w:color w:val="008000"/>
        </w:rPr>
      </w:pPr>
      <w:r>
        <w:rPr>
          <w:color w:val="008000"/>
        </w:rPr>
        <w:t>--#format table "Energy use - by Regions" column MaxValue with IconSet=Signs3;</w:t>
      </w:r>
    </w:p>
    <w:p>
      <w:pPr>
        <w:pStyle w:val="P7"/>
        <w:spacing w:before="240" w:after="240"/>
        <w:ind w:left="0" w:right="0"/>
        <w:jc w:val="both"/>
      </w:pPr>
      <w:r>
        <w:t xml:space="preserve">To review supported format condition in </w:t>
      </w:r>
      <w:r>
        <w:rPr>
          <w:b w:val="1"/>
        </w:rPr>
        <w:t>Grid</w:t>
      </w:r>
      <w:r>
        <w:t xml:space="preserve"> click on button "Formatting" on ribbon tab "Data" when </w:t>
      </w:r>
      <w:r>
        <w:rPr>
          <w:b w:val="1"/>
        </w:rPr>
        <w:t>Grid</w:t>
      </w:r>
      <w:r>
        <w:t xml:space="preserve"> is active, or right-click on </w:t>
      </w:r>
      <w:r>
        <w:rPr>
          <w:i w:val="1"/>
        </w:rPr>
        <w:t>column header</w:t>
      </w:r>
      <w:r>
        <w:t xml:space="preserve"> and choose </w:t>
      </w:r>
      <w:r>
        <w:rPr>
          <w:i w:val="1"/>
        </w:rPr>
        <w:t>Conditional Formatting/Manage Rules</w:t>
      </w:r>
      <w:r>
        <w:t xml:space="preserve">. Displayed dialog allows to edit existing </w:t>
      </w:r>
      <w:r>
        <w:rPr>
          <w:i w:val="1"/>
        </w:rPr>
        <w:t>format conditions</w:t>
      </w:r>
      <w:r>
        <w:t xml:space="preserve"> and add new ones.</w:t>
      </w:r>
    </w:p>
    <w:p>
      <w:pPr>
        <w:pStyle w:val="P7"/>
        <w:spacing w:before="240" w:after="240"/>
        <w:ind w:left="0" w:right="0"/>
        <w:jc w:val="both"/>
      </w:pPr>
      <w:r>
        <w:t xml:space="preserve">Following </w:t>
      </w:r>
      <w:r>
        <w:rPr>
          <w:i w:val="1"/>
        </w:rPr>
        <w:t>format conditions</w:t>
      </w:r>
      <w:r>
        <w:t xml:space="preserve"> are supported:</w:t>
      </w:r>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Expression</w:t>
            </w:r>
          </w:p>
        </w:tc>
        <w:tc>
          <w:tcPr>
            <w:tcW w:w="0" w:type="auto"/>
            <w:vAlign w:val="center"/>
            <w:hideMark/>
          </w:tcPr>
          <w:p>
            <w:pPr>
              <w:pStyle w:val="P7"/>
              <w:spacing w:before="240" w:after="240"/>
              <w:ind w:left="0" w:right="0"/>
              <w:jc w:val="both"/>
            </w:pPr>
            <w:r>
              <w:t>Applies format if row matches specified condition.</w:t>
            </w:r>
          </w:p>
          <w:p>
            <w:pPr>
              <w:pStyle w:val="P7"/>
              <w:spacing w:before="240" w:after="240"/>
              <w:ind w:left="0" w:right="0"/>
              <w:rPr>
                <w:color w:val="008000"/>
              </w:rPr>
            </w:pPr>
            <w:r>
              <w:rPr>
                <w:color w:val="008000"/>
              </w:rPr>
              <w:t>--#format table Series column [Indicator Name] for "Contains([Indicator Name], 'Agricultural')" with BackColor=Green, ForeColor=White;</w:t>
            </w:r>
          </w:p>
        </w:tc>
      </w:tr>
      <w:tr>
        <w:tc>
          <w:tcPr>
            <w:tcW w:w="0" w:type="auto"/>
            <w:vAlign w:val="center"/>
            <w:hideMark/>
          </w:tcPr>
          <w:p>
            <w:pPr>
              <w:pStyle w:val="P7"/>
              <w:ind w:left="0" w:right="0"/>
            </w:pPr>
            <w:r>
              <w:rPr>
                <w:b w:val="1"/>
              </w:rPr>
              <w:t>DataBar</w:t>
            </w:r>
          </w:p>
        </w:tc>
        <w:tc>
          <w:tcPr>
            <w:tcW w:w="0" w:type="auto"/>
            <w:vAlign w:val="center"/>
            <w:hideMark/>
          </w:tcPr>
          <w:p>
            <w:pPr>
              <w:pStyle w:val="P7"/>
              <w:spacing w:before="240" w:after="240"/>
              <w:ind w:left="0" w:right="0"/>
              <w:jc w:val="both"/>
            </w:pPr>
            <w:r>
              <w:t xml:space="preserve">Applies format using a </w:t>
            </w:r>
            <w:r>
              <w:rPr>
                <w:i w:val="1"/>
              </w:rPr>
              <w:t>DataBar</w:t>
            </w:r>
            <w:r>
              <w:t>. Bar length changes proprotionally to a cell value.</w:t>
            </w:r>
          </w:p>
          <w:p>
            <w:pPr>
              <w:pStyle w:val="P7"/>
              <w:spacing w:before="240" w:after="240"/>
              <w:ind w:left="0" w:right="0"/>
              <w:rPr>
                <w:color w:val="008000"/>
              </w:rPr>
            </w:pPr>
            <w:r>
              <w:rPr>
                <w:color w:val="008000"/>
              </w:rPr>
              <w:t>--#format table [Energy use - by Income] column [AverageValue] with Rule=DataBar, BackColor='LightGreen', BackColor2='LightGray', Gradient=Horizontal</w:t>
            </w:r>
          </w:p>
        </w:tc>
      </w:tr>
      <w:tr>
        <w:tc>
          <w:tcPr>
            <w:tcW w:w="0" w:type="auto"/>
            <w:vAlign w:val="center"/>
            <w:hideMark/>
          </w:tcPr>
          <w:p>
            <w:pPr>
              <w:pStyle w:val="P7"/>
              <w:ind w:left="0" w:right="0"/>
            </w:pPr>
            <w:r>
              <w:rPr>
                <w:b w:val="1"/>
              </w:rPr>
              <w:t>IconSet</w:t>
            </w:r>
          </w:p>
        </w:tc>
        <w:tc>
          <w:tcPr>
            <w:tcW w:w="0" w:type="auto"/>
            <w:vAlign w:val="center"/>
            <w:hideMark/>
          </w:tcPr>
          <w:p>
            <w:pPr>
              <w:pStyle w:val="P7"/>
              <w:spacing w:before="240" w:after="240"/>
              <w:ind w:left="0" w:right="0"/>
              <w:jc w:val="both"/>
            </w:pPr>
            <w:r>
              <w:rPr>
                <w:i w:val="1"/>
              </w:rPr>
              <w:t>IconSet</w:t>
            </w:r>
            <w:r>
              <w:t xml:space="preserve"> allows to classify values into ranges and display specific icon according to the range.</w:t>
            </w:r>
          </w:p>
          <w:p>
            <w:pPr>
              <w:pStyle w:val="P7"/>
              <w:spacing w:before="240" w:after="240"/>
              <w:ind w:left="0" w:right="0"/>
              <w:rPr>
                <w:color w:val="008000"/>
              </w:rPr>
            </w:pPr>
            <w:r>
              <w:rPr>
                <w:color w:val="008000"/>
              </w:rPr>
              <w:t>--#format table "Energy use - by Regions" column MaxValue with IconSet=Signs3;</w:t>
            </w:r>
          </w:p>
        </w:tc>
      </w:tr>
      <w:tr>
        <w:tc>
          <w:tcPr>
            <w:tcW w:w="0" w:type="auto"/>
            <w:vAlign w:val="center"/>
            <w:hideMark/>
          </w:tcPr>
          <w:p>
            <w:pPr>
              <w:pStyle w:val="P7"/>
              <w:ind w:left="0" w:right="0"/>
            </w:pPr>
            <w:r>
              <w:rPr>
                <w:b w:val="1"/>
              </w:rPr>
              <w:t>ColorScale</w:t>
            </w:r>
          </w:p>
        </w:tc>
        <w:tc>
          <w:tcPr>
            <w:tcW w:w="0" w:type="auto"/>
            <w:vAlign w:val="center"/>
            <w:hideMark/>
          </w:tcPr>
          <w:p>
            <w:pPr>
              <w:pStyle w:val="P7"/>
              <w:spacing w:before="240" w:after="240"/>
              <w:ind w:left="0" w:right="0"/>
              <w:jc w:val="both"/>
            </w:pPr>
            <w:r>
              <w:t>Allows to disploay data distribution and variation using a gradation of 2 or 3 colors.</w:t>
            </w:r>
          </w:p>
          <w:p>
            <w:pPr>
              <w:pStyle w:val="P7"/>
              <w:spacing w:before="240" w:after="240"/>
              <w:ind w:left="0" w:right="0"/>
              <w:rPr>
                <w:color w:val="008000"/>
              </w:rPr>
            </w:pPr>
            <w:r>
              <w:rPr>
                <w:color w:val="008000"/>
              </w:rPr>
              <w:t>#format table [Energy use - by Income] column [AverageValue] with ColorScale='Red,LightGreen,White'</w:t>
            </w:r>
          </w:p>
        </w:tc>
      </w:tr>
      <w:tr>
        <w:tc>
          <w:tcPr>
            <w:tcW w:w="0" w:type="auto"/>
            <w:vAlign w:val="center"/>
            <w:hideMark/>
          </w:tcPr>
          <w:p>
            <w:pPr>
              <w:pStyle w:val="P7"/>
              <w:ind w:left="0" w:right="0"/>
            </w:pPr>
            <w:r>
              <w:rPr>
                <w:b w:val="1"/>
              </w:rPr>
              <w:t>AboveAverage</w:t>
            </w:r>
            <w:r>
              <w:br w:type="textWrapping"/>
            </w:r>
            <w:r>
              <w:rPr>
                <w:b w:val="1"/>
              </w:rPr>
              <w:t>BelowAverage</w:t>
            </w:r>
            <w:r>
              <w:br w:type="textWrapping"/>
            </w:r>
            <w:r>
              <w:rPr>
                <w:b w:val="1"/>
              </w:rPr>
              <w:t>AboveOrEqualAverage</w:t>
            </w:r>
            <w:r>
              <w:br w:type="textWrapping"/>
            </w:r>
            <w:r>
              <w:rPr>
                <w:b w:val="1"/>
              </w:rPr>
              <w:t>BelowOrEqualAverage</w:t>
            </w:r>
            <w:r>
              <w:br w:type="textWrapping"/>
            </w:r>
            <w:r>
              <w:rPr>
                <w:b w:val="1"/>
              </w:rPr>
              <w:t>Unique</w:t>
            </w:r>
            <w:r>
              <w:br w:type="textWrapping"/>
            </w:r>
            <w:r>
              <w:rPr>
                <w:b w:val="1"/>
              </w:rPr>
              <w:t>Duplicate</w:t>
            </w:r>
            <w:r>
              <w:t xml:space="preserve"> </w:t>
            </w:r>
          </w:p>
        </w:tc>
        <w:tc>
          <w:tcPr>
            <w:tcW w:w="0" w:type="auto"/>
            <w:vAlign w:val="center"/>
            <w:hideMark/>
          </w:tcPr>
          <w:p>
            <w:pPr>
              <w:pStyle w:val="P7"/>
              <w:spacing w:before="240" w:after="240"/>
              <w:ind w:left="0" w:right="0"/>
              <w:jc w:val="both"/>
            </w:pPr>
            <w:r>
              <w:t>Applies format if value corresponds specified condition.</w:t>
            </w:r>
          </w:p>
          <w:p>
            <w:pPr>
              <w:pStyle w:val="P7"/>
              <w:spacing w:before="240" w:after="240"/>
              <w:ind w:left="0" w:right="0"/>
              <w:rPr>
                <w:color w:val="008000"/>
              </w:rPr>
            </w:pPr>
            <w:r>
              <w:rPr>
                <w:color w:val="008000"/>
              </w:rPr>
              <w:t>--#format table "Energy use" column Value with Rule=AboveAverage, BackColor=LightGreen</w:t>
            </w:r>
          </w:p>
        </w:tc>
      </w:tr>
      <w:tr>
        <w:tc>
          <w:tcPr>
            <w:tcW w:w="0" w:type="auto"/>
            <w:vAlign w:val="center"/>
            <w:hideMark/>
          </w:tcPr>
          <w:p>
            <w:pPr>
              <w:pStyle w:val="P7"/>
              <w:ind w:left="0" w:right="0"/>
            </w:pPr>
            <w:r>
              <w:rPr>
                <w:b w:val="1"/>
              </w:rPr>
              <w:t>Top</w:t>
            </w:r>
            <w:r>
              <w:br w:type="textWrapping"/>
            </w:r>
            <w:r>
              <w:rPr>
                <w:b w:val="1"/>
              </w:rPr>
              <w:t>Bottom</w:t>
            </w:r>
            <w:r>
              <w:t xml:space="preserve"> </w:t>
            </w:r>
          </w:p>
        </w:tc>
        <w:tc>
          <w:tcPr>
            <w:tcW w:w="0" w:type="auto"/>
            <w:vAlign w:val="center"/>
            <w:hideMark/>
          </w:tcPr>
          <w:p>
            <w:pPr>
              <w:pStyle w:val="P7"/>
              <w:spacing w:before="240" w:after="240"/>
              <w:ind w:left="0" w:right="0"/>
              <w:jc w:val="both"/>
            </w:pPr>
            <w:r>
              <w:t>Applies format if value belongs to top or bottom N values. N can be a number or a percent.</w:t>
            </w:r>
          </w:p>
          <w:p>
            <w:pPr>
              <w:pStyle w:val="P7"/>
              <w:spacing w:before="240" w:after="240"/>
              <w:ind w:left="0" w:right="0"/>
              <w:rPr>
                <w:color w:val="008000"/>
              </w:rPr>
            </w:pPr>
            <w:r>
              <w:rPr>
                <w:color w:val="008000"/>
              </w:rPr>
              <w:t>--#format table "Energy use" column Value with Rule=Top, Rank='10%', BackColor=LightGreen</w:t>
            </w:r>
          </w:p>
        </w:tc>
      </w:tr>
      <w:tr>
        <w:tc>
          <w:tcPr>
            <w:tcW w:w="0" w:type="auto"/>
            <w:vAlign w:val="center"/>
            <w:hideMark/>
          </w:tcPr>
          <w:p>
            <w:pPr>
              <w:pStyle w:val="P7"/>
              <w:ind w:left="0" w:right="0"/>
            </w:pPr>
            <w:r>
              <w:rPr>
                <w:b w:val="1"/>
              </w:rPr>
              <w:t>DateOccuring</w:t>
            </w:r>
          </w:p>
        </w:tc>
        <w:tc>
          <w:tcPr>
            <w:tcW w:w="0" w:type="auto"/>
            <w:vAlign w:val="center"/>
            <w:hideMark/>
          </w:tcPr>
          <w:p>
            <w:pPr>
              <w:pStyle w:val="P7"/>
              <w:spacing w:before="240" w:after="240"/>
              <w:ind w:left="0" w:right="0"/>
              <w:jc w:val="both"/>
            </w:pPr>
            <w:r>
              <w:t xml:space="preserve">Applies a format if value refers to specific date or date interval relative to </w:t>
            </w:r>
            <w:r>
              <w:rPr>
                <w:i w:val="1"/>
              </w:rPr>
              <w:t>today</w:t>
            </w:r>
            <w:r>
              <w:t>. Day intervalus include Beyond, BeyondThisYear, Earlier, EarlierThisMonth, EarlierThisWeek, EarlierThisYear, Empty, LastWeek, LaterThisMonth, LaterThisWeek, LaterThisYear, MonthAfter1, MonthAfter2, MonthAgo1, MonthAgo2, MonthAgo3, MonthAgo4, MonthAgo5, MonthAgo6, NextWeek, PriorThisYear, SpecificDate, ThisMonth, ThisWeek, Today, Tomorrow, User, Yesterday</w:t>
            </w:r>
          </w:p>
          <w:p>
            <w:pPr>
              <w:pStyle w:val="P7"/>
              <w:spacing w:before="240" w:after="240"/>
              <w:ind w:left="0" w:right="0"/>
              <w:rPr>
                <w:color w:val="008000"/>
              </w:rPr>
            </w:pPr>
            <w:r>
              <w:rPr>
                <w:color w:val="008000"/>
              </w:rPr>
              <w:t>--#format table [Table1] column [Value] with DateOccuring=Today, BackColor=Yellow</w:t>
            </w:r>
          </w:p>
        </w:tc>
      </w:tr>
      <w:tr>
        <w:tc>
          <w:tcPr>
            <w:tcW w:w="0" w:type="auto"/>
            <w:vAlign w:val="center"/>
            <w:hideMark/>
          </w:tcPr>
          <w:p>
            <w:pPr>
              <w:pStyle w:val="P7"/>
              <w:ind w:left="0" w:right="0"/>
            </w:pPr>
            <w:r>
              <w:rPr>
                <w:b w:val="1"/>
              </w:rPr>
              <w:t>Rule</w:t>
            </w:r>
            <w:r>
              <w:br w:type="textWrapping"/>
            </w:r>
            <w:r>
              <w:rPr>
                <w:b w:val="1"/>
              </w:rPr>
              <w:t>Comparison</w:t>
            </w:r>
            <w:r>
              <w:t xml:space="preserve"> </w:t>
            </w:r>
          </w:p>
        </w:tc>
        <w:tc>
          <w:tcPr>
            <w:tcW w:w="0" w:type="auto"/>
            <w:vAlign w:val="center"/>
            <w:hideMark/>
          </w:tcPr>
          <w:p>
            <w:pPr>
              <w:pStyle w:val="P7"/>
              <w:spacing w:before="240" w:after="240"/>
              <w:ind w:left="0" w:right="0"/>
              <w:jc w:val="both"/>
            </w:pPr>
            <w:r>
              <w:t>Applies a format if value meets specified comparison condition. Comparison types include Between, Equal, Expression, Greater, GreaterOrEqual, Less, LessOrEqual, NotBetween, NotEqual.</w:t>
            </w:r>
          </w:p>
          <w:p>
            <w:pPr>
              <w:pStyle w:val="P7"/>
              <w:spacing w:before="240" w:after="240"/>
              <w:ind w:left="0" w:right="0"/>
              <w:rPr>
                <w:color w:val="008000"/>
              </w:rPr>
            </w:pPr>
            <w:r>
              <w:rPr>
                <w:color w:val="008000"/>
              </w:rPr>
              <w:t>--#format table Regions column [Table Name] with Condition=Equal, Value1='OECD members', BackColor=Green, ApplyToRow=true</w:t>
            </w:r>
          </w:p>
        </w:tc>
      </w:tr>
    </w:tbl>
    <w:p>
      <w:pPr>
        <w:pStyle w:val="P7"/>
        <w:spacing w:before="240" w:after="240"/>
        <w:ind w:left="0" w:right="0"/>
        <w:jc w:val="both"/>
      </w:pPr>
      <w:r>
        <w:t xml:space="preserve">Most </w:t>
      </w:r>
      <w:r>
        <w:rPr>
          <w:i w:val="1"/>
        </w:rPr>
        <w:t>format conditions</w:t>
      </w:r>
      <w:r>
        <w:t xml:space="preserve"> (except DataBar, IconSet and ColorScale) support properties that specify </w:t>
      </w:r>
      <w:r>
        <w:rPr>
          <w:i w:val="1"/>
        </w:rPr>
        <w:t>appearance</w:t>
      </w:r>
      <w:r>
        <w:t xml:space="preserve"> These properties include:</w:t>
      </w:r>
    </w:p>
    <w:p>
      <w:pPr>
        <w:pStyle w:val="P7"/>
        <w:numPr>
          <w:ilvl w:val="0"/>
          <w:numId w:val="1"/>
        </w:numPr>
        <w:spacing w:before="0" w:after="0"/>
        <w:ind w:hanging="360" w:left="720" w:right="0"/>
      </w:pPr>
      <w:r>
        <w:t>BackColor</w:t>
      </w:r>
    </w:p>
    <w:p>
      <w:pPr>
        <w:pStyle w:val="P7"/>
        <w:numPr>
          <w:ilvl w:val="0"/>
          <w:numId w:val="1"/>
        </w:numPr>
        <w:spacing w:before="0" w:after="0"/>
        <w:ind w:hanging="360" w:left="720" w:right="0"/>
      </w:pPr>
      <w:r>
        <w:t xml:space="preserve">BackColor2 (to use with </w:t>
      </w:r>
      <w:r>
        <w:rPr>
          <w:i w:val="1"/>
        </w:rPr>
        <w:t>Gradient</w:t>
      </w:r>
    </w:p>
    <w:p>
      <w:pPr>
        <w:pStyle w:val="P7"/>
        <w:numPr>
          <w:ilvl w:val="0"/>
          <w:numId w:val="1"/>
        </w:numPr>
        <w:spacing w:before="0" w:after="0"/>
        <w:ind w:hanging="360" w:left="720" w:right="0"/>
      </w:pPr>
      <w:r>
        <w:t>BorderColor</w:t>
      </w:r>
    </w:p>
    <w:p>
      <w:pPr>
        <w:pStyle w:val="P7"/>
        <w:numPr>
          <w:ilvl w:val="0"/>
          <w:numId w:val="1"/>
        </w:numPr>
        <w:spacing w:before="0" w:after="0"/>
        <w:ind w:hanging="360" w:left="720" w:right="0"/>
      </w:pPr>
      <w:r>
        <w:t>Font</w:t>
      </w:r>
    </w:p>
    <w:p>
      <w:pPr>
        <w:pStyle w:val="P7"/>
        <w:numPr>
          <w:ilvl w:val="0"/>
          <w:numId w:val="1"/>
        </w:numPr>
        <w:spacing w:before="0" w:after="0"/>
        <w:ind w:hanging="360" w:left="720" w:right="0"/>
      </w:pPr>
      <w:r>
        <w:t xml:space="preserve">Gradient (requires </w:t>
      </w:r>
      <w:r>
        <w:rPr>
          <w:i w:val="1"/>
        </w:rPr>
        <w:t>BackColor2</w:t>
      </w:r>
      <w:r>
        <w:t>, one of following values: Horizontal, Vertical, ForwardDiagonal, BackwardDiagonal)</w:t>
      </w:r>
    </w:p>
    <w:p>
      <w:pPr>
        <w:pStyle w:val="P7"/>
      </w:pPr>
      <w:r>
        <w:br w:type="textWrapping"/>
      </w:r>
    </w:p>
    <w:p>
      <w:pPr>
        <w:pStyle w:val="P3"/>
      </w:pPr>
      <w:bookmarkStart w:id="4" w:name="_Toc804006103"/>
      <w:r>
        <w:t>Command COMPUTED COLUMN</w:t>
      </w:r>
      <w:bookmarkEnd w:id="4"/>
    </w:p>
    <w:p>
      <w:pPr>
        <w:pStyle w:val="P7"/>
        <w:spacing w:before="240" w:after="240"/>
        <w:ind w:left="0" w:right="0"/>
        <w:jc w:val="both"/>
      </w:pPr>
      <w:r>
        <w:rPr>
          <w:b w:val="1"/>
        </w:rPr>
        <w:t>SpreadCommander</w:t>
      </w:r>
      <w:r>
        <w:t xml:space="preserve"> allows to add client-side computed columns to resulset of SQL queries. To edit computed columns click on button "Computed columns" on ribbon tab "Data" when </w:t>
      </w:r>
      <w:r>
        <w:rPr>
          <w:b w:val="1"/>
        </w:rPr>
        <w:t>Grid</w:t>
      </w:r>
      <w:r>
        <w:t xml:space="preserve"> is active.</w:t>
      </w:r>
    </w:p>
    <w:p>
      <w:pPr>
        <w:pStyle w:val="P7"/>
        <w:spacing w:before="240" w:after="240"/>
        <w:ind w:left="0" w:right="0"/>
        <w:jc w:val="both"/>
      </w:pPr>
      <w:r>
        <w:t>Syntax is COMPUTED COLUMN [ColumnName] ColumnType IN [TableName] = 'Expression'. ColumnType is one of: STRING (aliases - VARCHAR, CHAR, TEXT), INTEGER (alias INT), DECIMAL (aliases NUMERIC, DOUBLE, FLOAT), BOOLEAN (alias BOOL).</w:t>
      </w:r>
    </w:p>
    <w:p>
      <w:pPr>
        <w:pStyle w:val="P7"/>
        <w:rPr>
          <w:color w:val="008000"/>
        </w:rPr>
      </w:pPr>
      <w:r>
        <w:rPr>
          <w:color w:val="008000"/>
        </w:rPr>
        <w:t>--#computed column [Topic Part] string in Series = "REGEXMATCH([Topic], '(?&lt;=:).*')"</w:t>
      </w:r>
    </w:p>
    <w:p>
      <w:pPr>
        <w:pStyle w:val="P3"/>
      </w:pPr>
      <w:bookmarkStart w:id="5" w:name="_Toc2050921871"/>
      <w:r>
        <w:t>Command RELATION</w:t>
      </w:r>
      <w:bookmarkEnd w:id="5"/>
    </w:p>
    <w:p>
      <w:pPr>
        <w:pStyle w:val="P7"/>
        <w:spacing w:before="240" w:after="240"/>
        <w:ind w:left="0" w:right="0"/>
        <w:jc w:val="both"/>
      </w:pPr>
      <w:r>
        <w:rPr>
          <w:b w:val="1"/>
        </w:rPr>
        <w:t>SpreadCommander</w:t>
      </w:r>
      <w:r>
        <w:t xml:space="preserve"> executes </w:t>
      </w:r>
      <w:r>
        <w:rPr>
          <w:i w:val="1"/>
        </w:rPr>
        <w:t>SQL queries</w:t>
      </w:r>
      <w:r>
        <w:t xml:space="preserve"> into </w:t>
      </w:r>
      <w:r>
        <w:rPr>
          <w:i w:val="1"/>
        </w:rPr>
        <w:t>ADO.Net DataSet</w:t>
      </w:r>
      <w:r>
        <w:t xml:space="preserve"> and allows to specify client-side </w:t>
      </w:r>
      <w:r>
        <w:rPr>
          <w:i w:val="1"/>
        </w:rPr>
        <w:t>master-detail relations</w:t>
      </w:r>
      <w:r>
        <w:t xml:space="preserve"> between tables.</w:t>
      </w:r>
    </w:p>
    <w:p>
      <w:pPr>
        <w:pStyle w:val="P7"/>
        <w:spacing w:before="240" w:after="240"/>
        <w:ind w:left="0" w:right="0"/>
        <w:jc w:val="both"/>
      </w:pPr>
      <w:r>
        <w:t xml:space="preserve">Syntax for </w:t>
      </w:r>
      <w:r>
        <w:rPr>
          <w:i w:val="1"/>
        </w:rPr>
        <w:t>Relation</w:t>
      </w:r>
      <w:r>
        <w:t xml:space="preserve"> is: RELATION [RelationName] [ParentTable] ([ParentColumn(s)]) - [ChildTable] ([ChildColumn(s)]. Multiple column names are comma-separated.</w:t>
      </w:r>
    </w:p>
    <w:p>
      <w:pPr>
        <w:pStyle w:val="P7"/>
        <w:rPr>
          <w:color w:val="008000"/>
        </w:rPr>
      </w:pPr>
      <w:r>
        <w:rPr>
          <w:color w:val="008000"/>
        </w:rPr>
        <w:t>--#relation Rel_Regions_EnergyUse [Regions] ([Short Name]) - [Energy use - by Regions] ([Region])</w:t>
      </w:r>
    </w:p>
    <w:p>
      <w:pPr>
        <w:pStyle w:val="P3"/>
      </w:pPr>
      <w:bookmarkStart w:id="6" w:name="_Toc1524897500"/>
      <w:r>
        <w:t>Command CONNECTION</w:t>
      </w:r>
      <w:bookmarkEnd w:id="6"/>
    </w:p>
    <w:p>
      <w:pPr>
        <w:pStyle w:val="P7"/>
        <w:spacing w:before="240" w:after="240"/>
        <w:ind w:left="0" w:right="0"/>
        <w:jc w:val="both"/>
      </w:pPr>
      <w:r>
        <w:rPr>
          <w:b w:val="1"/>
        </w:rPr>
        <w:t>SpreadCommander</w:t>
      </w:r>
      <w:r>
        <w:t xml:space="preserve"> allows to specify different connections for different </w:t>
      </w:r>
      <w:r>
        <w:rPr>
          <w:i w:val="1"/>
        </w:rPr>
        <w:t>SQL queries</w:t>
      </w:r>
      <w:r>
        <w:t xml:space="preserve"> (part of script separated by line GO). Connection can be one defined in list of common connections (can be set with cmdlet </w:t>
      </w:r>
      <w:r>
        <w:rPr>
          <w:i w:val="1"/>
        </w:rPr>
        <w:t>Set-DbConnection</w:t>
      </w:r>
      <w:r>
        <w:t xml:space="preserve">) or connection string can be constructed for </w:t>
      </w:r>
      <w:r>
        <w:rPr>
          <w:i w:val="1"/>
        </w:rPr>
        <w:t>Microsoft SQL Server</w:t>
      </w:r>
      <w:r>
        <w:t xml:space="preserve">, </w:t>
      </w:r>
      <w:r>
        <w:rPr>
          <w:i w:val="1"/>
        </w:rPr>
        <w:t>MySQL</w:t>
      </w:r>
      <w:r>
        <w:t xml:space="preserve">, </w:t>
      </w:r>
      <w:r>
        <w:rPr>
          <w:i w:val="1"/>
        </w:rPr>
        <w:t>SQLite</w:t>
      </w:r>
      <w:r>
        <w:t xml:space="preserve">, </w:t>
      </w:r>
      <w:r>
        <w:rPr>
          <w:i w:val="1"/>
        </w:rPr>
        <w:t>ODBC</w:t>
      </w:r>
      <w:r>
        <w:t xml:space="preserve"> or </w:t>
      </w:r>
      <w:r>
        <w:rPr>
          <w:i w:val="1"/>
        </w:rPr>
        <w:t>OLEDB</w:t>
      </w:r>
      <w:r>
        <w:t xml:space="preserve"> providers. Details see at beginning of this ReadMe file, in section </w:t>
      </w:r>
      <w:r>
        <w:rPr>
          <w:b w:val="1"/>
        </w:rPr>
        <w:t>SQL</w:t>
      </w:r>
      <w:r>
        <w:t xml:space="preserve">. If first query (part of script until first line GO) specifies </w:t>
      </w:r>
      <w:r>
        <w:rPr>
          <w:i w:val="1"/>
        </w:rPr>
        <w:t>Connection</w:t>
      </w:r>
      <w:r>
        <w:t xml:space="preserve"> - it will be used by default to execute script, show execution plan and other features.</w:t>
      </w:r>
    </w:p>
    <w:p>
      <w:pPr>
        <w:pStyle w:val="P7"/>
        <w:rPr>
          <w:color w:val="008000"/>
        </w:rPr>
      </w:pPr>
      <w:r>
        <w:rPr>
          <w:color w:val="008000"/>
        </w:rPr>
        <w:t>--#connection "sqlite:~\..\Data\WorldData.db"</w:t>
      </w:r>
    </w:p>
    <w:p>
      <w:pPr>
        <w:pStyle w:val="P2"/>
      </w:pPr>
      <w:r>
        <w:br w:type="page"/>
      </w:r>
      <w:bookmarkStart w:id="7" w:name="_Toc431697639"/>
      <w:r>
        <w:t>Extended SQLite functions</w:t>
      </w:r>
      <w:bookmarkEnd w:id="7"/>
    </w:p>
    <w:p>
      <w:pPr>
        <w:pStyle w:val="P7"/>
      </w:pPr>
      <w:r>
        <w:rPr>
          <w:b w:val="1"/>
        </w:rPr>
        <w:t>SpreadCommander</w:t>
      </w:r>
      <w:r>
        <w:t xml:space="preserve"> adds extended set of functions to </w:t>
      </w:r>
      <w:r>
        <w:rPr>
          <w:i w:val="1"/>
        </w:rPr>
        <w:t>SQLite</w:t>
      </w:r>
      <w:r>
        <w:t xml:space="preserve">. These functions allow basic data analysis in </w:t>
      </w:r>
      <w:r>
        <w:rPr>
          <w:i w:val="1"/>
        </w:rPr>
        <w:t>SQL queries</w:t>
      </w:r>
      <w:r>
        <w:t>.</w:t>
      </w:r>
    </w:p>
    <w:p>
      <w:pPr>
        <w:pStyle w:val="P3"/>
      </w:pPr>
      <w:bookmarkStart w:id="8" w:name="_Toc223153086"/>
      <w:r>
        <w:t>Scalar functions</w:t>
      </w:r>
      <w:bookmarkEnd w:id="8"/>
    </w:p>
    <w:p>
      <w:pPr>
        <w:pStyle w:val="P4"/>
      </w:pPr>
      <w:bookmarkStart w:id="9" w:name="_Toc774416005"/>
      <w:r>
        <w:t>Hash</w:t>
      </w:r>
      <w:bookmarkEnd w:id="9"/>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MD5</w:t>
            </w:r>
          </w:p>
        </w:tc>
        <w:tc>
          <w:tcPr>
            <w:tcW w:w="0" w:type="auto"/>
            <w:vAlign w:val="center"/>
            <w:hideMark/>
          </w:tcPr>
          <w:p>
            <w:pPr>
              <w:pStyle w:val="P7"/>
              <w:ind w:left="0" w:right="0"/>
            </w:pPr>
            <w:r>
              <w:t xml:space="preserve">Computed </w:t>
            </w:r>
            <w:r>
              <w:rPr>
                <w:i w:val="1"/>
              </w:rPr>
              <w:t>MD5</w:t>
            </w:r>
            <w:r>
              <w:t xml:space="preserve"> hash.</w:t>
            </w:r>
          </w:p>
        </w:tc>
      </w:tr>
      <w:tr>
        <w:tc>
          <w:tcPr>
            <w:tcW w:w="0" w:type="auto"/>
            <w:vAlign w:val="center"/>
            <w:hideMark/>
          </w:tcPr>
          <w:p>
            <w:pPr>
              <w:pStyle w:val="P7"/>
              <w:ind w:left="0" w:right="0"/>
            </w:pPr>
            <w:r>
              <w:rPr>
                <w:b w:val="1"/>
              </w:rPr>
              <w:t>SHA1</w:t>
            </w:r>
          </w:p>
        </w:tc>
        <w:tc>
          <w:tcPr>
            <w:tcW w:w="0" w:type="auto"/>
            <w:vAlign w:val="center"/>
            <w:hideMark/>
          </w:tcPr>
          <w:p>
            <w:pPr>
              <w:pStyle w:val="P7"/>
              <w:ind w:left="0" w:right="0"/>
            </w:pPr>
            <w:r>
              <w:t xml:space="preserve">Computes </w:t>
            </w:r>
            <w:r>
              <w:rPr>
                <w:i w:val="1"/>
              </w:rPr>
              <w:t>SHA1</w:t>
            </w:r>
            <w:r>
              <w:t xml:space="preserve"> hash.</w:t>
            </w:r>
          </w:p>
        </w:tc>
      </w:tr>
      <w:tr>
        <w:tc>
          <w:tcPr>
            <w:tcW w:w="0" w:type="auto"/>
            <w:vAlign w:val="center"/>
            <w:hideMark/>
          </w:tcPr>
          <w:p>
            <w:pPr>
              <w:pStyle w:val="P7"/>
              <w:ind w:left="0" w:right="0"/>
            </w:pPr>
            <w:r>
              <w:rPr>
                <w:b w:val="1"/>
              </w:rPr>
              <w:t>SHA256</w:t>
            </w:r>
          </w:p>
        </w:tc>
        <w:tc>
          <w:tcPr>
            <w:tcW w:w="0" w:type="auto"/>
            <w:vAlign w:val="center"/>
            <w:hideMark/>
          </w:tcPr>
          <w:p>
            <w:pPr>
              <w:pStyle w:val="P7"/>
              <w:ind w:left="0" w:right="0"/>
            </w:pPr>
            <w:r>
              <w:t xml:space="preserve">Computes </w:t>
            </w:r>
            <w:r>
              <w:rPr>
                <w:i w:val="1"/>
              </w:rPr>
              <w:t>SHA256</w:t>
            </w:r>
            <w:r>
              <w:t xml:space="preserve"> hash.</w:t>
            </w:r>
          </w:p>
        </w:tc>
      </w:tr>
    </w:tbl>
    <w:p>
      <w:pPr>
        <w:pStyle w:val="P7"/>
      </w:pPr>
    </w:p>
    <w:p>
      <w:pPr>
        <w:pStyle w:val="P4"/>
      </w:pPr>
      <w:bookmarkStart w:id="10" w:name="_Toc1921890598"/>
      <w:r>
        <w:t>Math</w:t>
      </w:r>
      <w:bookmarkEnd w:id="10"/>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Acos</w:t>
            </w:r>
          </w:p>
        </w:tc>
        <w:tc>
          <w:tcPr>
            <w:tcW w:w="0" w:type="auto"/>
            <w:vAlign w:val="center"/>
            <w:hideMark/>
          </w:tcPr>
          <w:p>
            <w:pPr>
              <w:pStyle w:val="P7"/>
              <w:ind w:left="0" w:right="0"/>
            </w:pPr>
            <w:r>
              <w:t xml:space="preserve">Computes </w:t>
            </w:r>
            <w:r>
              <w:rPr>
                <w:i w:val="1"/>
              </w:rPr>
              <w:t>acos</w:t>
            </w:r>
            <w:r>
              <w:t xml:space="preserve"> function.</w:t>
            </w:r>
          </w:p>
        </w:tc>
      </w:tr>
      <w:tr>
        <w:tc>
          <w:tcPr>
            <w:tcW w:w="0" w:type="auto"/>
            <w:vAlign w:val="center"/>
            <w:hideMark/>
          </w:tcPr>
          <w:p>
            <w:pPr>
              <w:pStyle w:val="P7"/>
              <w:ind w:left="0" w:right="0"/>
            </w:pPr>
            <w:r>
              <w:rPr>
                <w:b w:val="1"/>
              </w:rPr>
              <w:t>Asin</w:t>
            </w:r>
          </w:p>
        </w:tc>
        <w:tc>
          <w:tcPr>
            <w:tcW w:w="0" w:type="auto"/>
            <w:vAlign w:val="center"/>
            <w:hideMark/>
          </w:tcPr>
          <w:p>
            <w:pPr>
              <w:pStyle w:val="P7"/>
              <w:ind w:left="0" w:right="0"/>
            </w:pPr>
            <w:r>
              <w:t xml:space="preserve">Computes </w:t>
            </w:r>
            <w:r>
              <w:rPr>
                <w:i w:val="1"/>
              </w:rPr>
              <w:t>asin</w:t>
            </w:r>
            <w:r>
              <w:t xml:space="preserve"> function.</w:t>
            </w:r>
          </w:p>
        </w:tc>
      </w:tr>
      <w:tr>
        <w:tc>
          <w:tcPr>
            <w:tcW w:w="0" w:type="auto"/>
            <w:vAlign w:val="center"/>
            <w:hideMark/>
          </w:tcPr>
          <w:p>
            <w:pPr>
              <w:pStyle w:val="P7"/>
              <w:ind w:left="0" w:right="0"/>
            </w:pPr>
            <w:r>
              <w:rPr>
                <w:b w:val="1"/>
              </w:rPr>
              <w:t>Atan</w:t>
            </w:r>
          </w:p>
        </w:tc>
        <w:tc>
          <w:tcPr>
            <w:tcW w:w="0" w:type="auto"/>
            <w:vAlign w:val="center"/>
            <w:hideMark/>
          </w:tcPr>
          <w:p>
            <w:pPr>
              <w:pStyle w:val="P7"/>
              <w:ind w:left="0" w:right="0"/>
            </w:pPr>
            <w:r>
              <w:t xml:space="preserve">Computes </w:t>
            </w:r>
            <w:r>
              <w:rPr>
                <w:i w:val="1"/>
              </w:rPr>
              <w:t>atan</w:t>
            </w:r>
            <w:r>
              <w:t xml:space="preserve"> function.</w:t>
            </w:r>
          </w:p>
        </w:tc>
      </w:tr>
      <w:tr>
        <w:tc>
          <w:tcPr>
            <w:tcW w:w="0" w:type="auto"/>
            <w:vAlign w:val="center"/>
            <w:hideMark/>
          </w:tcPr>
          <w:p>
            <w:pPr>
              <w:pStyle w:val="P7"/>
              <w:ind w:left="0" w:right="0"/>
            </w:pPr>
            <w:r>
              <w:rPr>
                <w:b w:val="1"/>
              </w:rPr>
              <w:t>Ceiling</w:t>
            </w:r>
          </w:p>
        </w:tc>
        <w:tc>
          <w:tcPr>
            <w:tcW w:w="0" w:type="auto"/>
            <w:vAlign w:val="center"/>
            <w:hideMark/>
          </w:tcPr>
          <w:p>
            <w:pPr>
              <w:pStyle w:val="P7"/>
              <w:ind w:left="0" w:right="0"/>
            </w:pPr>
            <w:r>
              <w:t xml:space="preserve">Computes </w:t>
            </w:r>
            <w:r>
              <w:rPr>
                <w:i w:val="1"/>
              </w:rPr>
              <w:t>Ceiling</w:t>
            </w:r>
            <w:r>
              <w:t xml:space="preserve"> function.</w:t>
            </w:r>
          </w:p>
        </w:tc>
      </w:tr>
      <w:tr>
        <w:tc>
          <w:tcPr>
            <w:tcW w:w="0" w:type="auto"/>
            <w:vAlign w:val="center"/>
            <w:hideMark/>
          </w:tcPr>
          <w:p>
            <w:pPr>
              <w:pStyle w:val="P7"/>
              <w:ind w:left="0" w:right="0"/>
            </w:pPr>
            <w:r>
              <w:rPr>
                <w:b w:val="1"/>
              </w:rPr>
              <w:t>Cos</w:t>
            </w:r>
          </w:p>
        </w:tc>
        <w:tc>
          <w:tcPr>
            <w:tcW w:w="0" w:type="auto"/>
            <w:vAlign w:val="center"/>
            <w:hideMark/>
          </w:tcPr>
          <w:p>
            <w:pPr>
              <w:pStyle w:val="P7"/>
              <w:ind w:left="0" w:right="0"/>
            </w:pPr>
            <w:r>
              <w:t xml:space="preserve">Computes </w:t>
            </w:r>
            <w:r>
              <w:rPr>
                <w:i w:val="1"/>
              </w:rPr>
              <w:t>cos</w:t>
            </w:r>
            <w:r>
              <w:t xml:space="preserve"> function.</w:t>
            </w:r>
          </w:p>
        </w:tc>
      </w:tr>
      <w:tr>
        <w:tc>
          <w:tcPr>
            <w:tcW w:w="0" w:type="auto"/>
            <w:vAlign w:val="center"/>
            <w:hideMark/>
          </w:tcPr>
          <w:p>
            <w:pPr>
              <w:pStyle w:val="P7"/>
              <w:ind w:left="0" w:right="0"/>
            </w:pPr>
            <w:r>
              <w:rPr>
                <w:b w:val="1"/>
              </w:rPr>
              <w:t>Cosh</w:t>
            </w:r>
          </w:p>
        </w:tc>
        <w:tc>
          <w:tcPr>
            <w:tcW w:w="0" w:type="auto"/>
            <w:vAlign w:val="center"/>
            <w:hideMark/>
          </w:tcPr>
          <w:p>
            <w:pPr>
              <w:pStyle w:val="P7"/>
              <w:ind w:left="0" w:right="0"/>
            </w:pPr>
            <w:r>
              <w:t xml:space="preserve">Computes </w:t>
            </w:r>
            <w:r>
              <w:rPr>
                <w:i w:val="1"/>
              </w:rPr>
              <w:t>cosh</w:t>
            </w:r>
            <w:r>
              <w:t xml:space="preserve"> function.</w:t>
            </w:r>
          </w:p>
        </w:tc>
      </w:tr>
      <w:tr>
        <w:tc>
          <w:tcPr>
            <w:tcW w:w="0" w:type="auto"/>
            <w:vAlign w:val="center"/>
            <w:hideMark/>
          </w:tcPr>
          <w:p>
            <w:pPr>
              <w:pStyle w:val="P7"/>
              <w:ind w:left="0" w:right="0"/>
            </w:pPr>
            <w:r>
              <w:rPr>
                <w:b w:val="1"/>
              </w:rPr>
              <w:t>Exp</w:t>
            </w:r>
          </w:p>
        </w:tc>
        <w:tc>
          <w:tcPr>
            <w:tcW w:w="0" w:type="auto"/>
            <w:vAlign w:val="center"/>
            <w:hideMark/>
          </w:tcPr>
          <w:p>
            <w:pPr>
              <w:pStyle w:val="P7"/>
              <w:ind w:left="0" w:right="0"/>
            </w:pPr>
            <w:r>
              <w:t xml:space="preserve">Computes </w:t>
            </w:r>
            <w:r>
              <w:rPr>
                <w:i w:val="1"/>
              </w:rPr>
              <w:t>exp</w:t>
            </w:r>
            <w:r>
              <w:t xml:space="preserve"> function.</w:t>
            </w:r>
          </w:p>
        </w:tc>
      </w:tr>
      <w:tr>
        <w:tc>
          <w:tcPr>
            <w:tcW w:w="0" w:type="auto"/>
            <w:vAlign w:val="center"/>
            <w:hideMark/>
          </w:tcPr>
          <w:p>
            <w:pPr>
              <w:pStyle w:val="P7"/>
              <w:ind w:left="0" w:right="0"/>
            </w:pPr>
            <w:r>
              <w:rPr>
                <w:b w:val="1"/>
              </w:rPr>
              <w:t>Floor</w:t>
            </w:r>
          </w:p>
        </w:tc>
        <w:tc>
          <w:tcPr>
            <w:tcW w:w="0" w:type="auto"/>
            <w:vAlign w:val="center"/>
            <w:hideMark/>
          </w:tcPr>
          <w:p>
            <w:pPr>
              <w:pStyle w:val="P7"/>
              <w:ind w:left="0" w:right="0"/>
            </w:pPr>
            <w:r>
              <w:t xml:space="preserve">Computes </w:t>
            </w:r>
            <w:r>
              <w:rPr>
                <w:i w:val="1"/>
              </w:rPr>
              <w:t>floor</w:t>
            </w:r>
            <w:r>
              <w:t xml:space="preserve"> function.</w:t>
            </w:r>
          </w:p>
        </w:tc>
      </w:tr>
      <w:tr>
        <w:tc>
          <w:tcPr>
            <w:tcW w:w="0" w:type="auto"/>
            <w:vAlign w:val="center"/>
            <w:hideMark/>
          </w:tcPr>
          <w:p>
            <w:pPr>
              <w:pStyle w:val="P7"/>
              <w:ind w:left="0" w:right="0"/>
            </w:pPr>
            <w:r>
              <w:rPr>
                <w:b w:val="1"/>
              </w:rPr>
              <w:t>IEEERemainder</w:t>
            </w:r>
          </w:p>
        </w:tc>
        <w:tc>
          <w:tcPr>
            <w:tcW w:w="0" w:type="auto"/>
            <w:vAlign w:val="center"/>
            <w:hideMark/>
          </w:tcPr>
          <w:p>
            <w:pPr>
              <w:pStyle w:val="P7"/>
              <w:ind w:left="0" w:right="0"/>
            </w:pPr>
            <w:r>
              <w:t xml:space="preserve">Computes </w:t>
            </w:r>
            <w:r>
              <w:rPr>
                <w:i w:val="1"/>
              </w:rPr>
              <w:t>IEEEReminder</w:t>
            </w:r>
            <w:r>
              <w:t xml:space="preserve"> function.</w:t>
            </w:r>
          </w:p>
        </w:tc>
      </w:tr>
      <w:tr>
        <w:tc>
          <w:tcPr>
            <w:tcW w:w="0" w:type="auto"/>
            <w:vAlign w:val="center"/>
            <w:hideMark/>
          </w:tcPr>
          <w:p>
            <w:pPr>
              <w:pStyle w:val="P7"/>
              <w:ind w:left="0" w:right="0"/>
            </w:pPr>
            <w:r>
              <w:rPr>
                <w:b w:val="1"/>
              </w:rPr>
              <w:t>Log10</w:t>
            </w:r>
          </w:p>
        </w:tc>
        <w:tc>
          <w:tcPr>
            <w:tcW w:w="0" w:type="auto"/>
            <w:vAlign w:val="center"/>
            <w:hideMark/>
          </w:tcPr>
          <w:p>
            <w:pPr>
              <w:pStyle w:val="P7"/>
              <w:ind w:left="0" w:right="0"/>
            </w:pPr>
            <w:r>
              <w:t xml:space="preserve">Computes </w:t>
            </w:r>
            <w:r>
              <w:rPr>
                <w:i w:val="1"/>
              </w:rPr>
              <w:t>log10</w:t>
            </w:r>
            <w:r>
              <w:t xml:space="preserve"> function.</w:t>
            </w:r>
          </w:p>
        </w:tc>
      </w:tr>
      <w:tr>
        <w:tc>
          <w:tcPr>
            <w:tcW w:w="0" w:type="auto"/>
            <w:vAlign w:val="center"/>
            <w:hideMark/>
          </w:tcPr>
          <w:p>
            <w:pPr>
              <w:pStyle w:val="P7"/>
              <w:ind w:left="0" w:right="0"/>
            </w:pPr>
            <w:r>
              <w:rPr>
                <w:b w:val="1"/>
              </w:rPr>
              <w:t>Log</w:t>
            </w:r>
          </w:p>
        </w:tc>
        <w:tc>
          <w:tcPr>
            <w:tcW w:w="0" w:type="auto"/>
            <w:vAlign w:val="center"/>
            <w:hideMark/>
          </w:tcPr>
          <w:p>
            <w:pPr>
              <w:pStyle w:val="P7"/>
              <w:ind w:left="0" w:right="0"/>
            </w:pPr>
            <w:r>
              <w:t xml:space="preserve">Computes </w:t>
            </w:r>
            <w:r>
              <w:rPr>
                <w:i w:val="1"/>
              </w:rPr>
              <w:t>log</w:t>
            </w:r>
            <w:r>
              <w:t xml:space="preserve"> function.</w:t>
            </w:r>
          </w:p>
        </w:tc>
      </w:tr>
      <w:tr>
        <w:tc>
          <w:tcPr>
            <w:tcW w:w="0" w:type="auto"/>
            <w:vAlign w:val="center"/>
            <w:hideMark/>
          </w:tcPr>
          <w:p>
            <w:pPr>
              <w:pStyle w:val="P7"/>
              <w:ind w:left="0" w:right="0"/>
            </w:pPr>
            <w:r>
              <w:rPr>
                <w:b w:val="1"/>
              </w:rPr>
              <w:t>Pow</w:t>
            </w:r>
          </w:p>
        </w:tc>
        <w:tc>
          <w:tcPr>
            <w:tcW w:w="0" w:type="auto"/>
            <w:vAlign w:val="center"/>
            <w:hideMark/>
          </w:tcPr>
          <w:p>
            <w:pPr>
              <w:pStyle w:val="P7"/>
              <w:ind w:left="0" w:right="0"/>
            </w:pPr>
            <w:r>
              <w:t xml:space="preserve">Computes </w:t>
            </w:r>
            <w:r>
              <w:rPr>
                <w:i w:val="1"/>
              </w:rPr>
              <w:t>power</w:t>
            </w:r>
            <w:r>
              <w:t xml:space="preserve"> function.</w:t>
            </w:r>
          </w:p>
        </w:tc>
      </w:tr>
      <w:tr>
        <w:tc>
          <w:tcPr>
            <w:tcW w:w="0" w:type="auto"/>
            <w:vAlign w:val="center"/>
            <w:hideMark/>
          </w:tcPr>
          <w:p>
            <w:pPr>
              <w:pStyle w:val="P7"/>
              <w:ind w:left="0" w:right="0"/>
            </w:pPr>
            <w:r>
              <w:rPr>
                <w:b w:val="1"/>
              </w:rPr>
              <w:t>Sign</w:t>
            </w:r>
          </w:p>
        </w:tc>
        <w:tc>
          <w:tcPr>
            <w:tcW w:w="0" w:type="auto"/>
            <w:vAlign w:val="center"/>
            <w:hideMark/>
          </w:tcPr>
          <w:p>
            <w:pPr>
              <w:pStyle w:val="P7"/>
              <w:ind w:left="0" w:right="0"/>
            </w:pPr>
            <w:r>
              <w:t xml:space="preserve">Computes </w:t>
            </w:r>
            <w:r>
              <w:rPr>
                <w:i w:val="1"/>
              </w:rPr>
              <w:t>sign</w:t>
            </w:r>
            <w:r>
              <w:t xml:space="preserve"> function.</w:t>
            </w:r>
          </w:p>
        </w:tc>
      </w:tr>
      <w:tr>
        <w:tc>
          <w:tcPr>
            <w:tcW w:w="0" w:type="auto"/>
            <w:vAlign w:val="center"/>
            <w:hideMark/>
          </w:tcPr>
          <w:p>
            <w:pPr>
              <w:pStyle w:val="P7"/>
              <w:ind w:left="0" w:right="0"/>
            </w:pPr>
            <w:r>
              <w:rPr>
                <w:b w:val="1"/>
              </w:rPr>
              <w:t>Sin</w:t>
            </w:r>
          </w:p>
        </w:tc>
        <w:tc>
          <w:tcPr>
            <w:tcW w:w="0" w:type="auto"/>
            <w:vAlign w:val="center"/>
            <w:hideMark/>
          </w:tcPr>
          <w:p>
            <w:pPr>
              <w:pStyle w:val="P7"/>
              <w:ind w:left="0" w:right="0"/>
            </w:pPr>
            <w:r>
              <w:t xml:space="preserve">Computes </w:t>
            </w:r>
            <w:r>
              <w:rPr>
                <w:i w:val="1"/>
              </w:rPr>
              <w:t>sin</w:t>
            </w:r>
            <w:r>
              <w:t xml:space="preserve"> function.</w:t>
            </w:r>
          </w:p>
        </w:tc>
      </w:tr>
      <w:tr>
        <w:tc>
          <w:tcPr>
            <w:tcW w:w="0" w:type="auto"/>
            <w:vAlign w:val="center"/>
            <w:hideMark/>
          </w:tcPr>
          <w:p>
            <w:pPr>
              <w:pStyle w:val="P7"/>
              <w:ind w:left="0" w:right="0"/>
            </w:pPr>
            <w:r>
              <w:rPr>
                <w:b w:val="1"/>
              </w:rPr>
              <w:t>Sinh</w:t>
            </w:r>
          </w:p>
        </w:tc>
        <w:tc>
          <w:tcPr>
            <w:tcW w:w="0" w:type="auto"/>
            <w:vAlign w:val="center"/>
            <w:hideMark/>
          </w:tcPr>
          <w:p>
            <w:pPr>
              <w:pStyle w:val="P7"/>
              <w:ind w:left="0" w:right="0"/>
            </w:pPr>
            <w:r>
              <w:t xml:space="preserve">Computes </w:t>
            </w:r>
            <w:r>
              <w:rPr>
                <w:i w:val="1"/>
              </w:rPr>
              <w:t>sinh</w:t>
            </w:r>
            <w:r>
              <w:t xml:space="preserve"> function.</w:t>
            </w:r>
          </w:p>
        </w:tc>
      </w:tr>
      <w:tr>
        <w:tc>
          <w:tcPr>
            <w:tcW w:w="0" w:type="auto"/>
            <w:vAlign w:val="center"/>
            <w:hideMark/>
          </w:tcPr>
          <w:p>
            <w:pPr>
              <w:pStyle w:val="P7"/>
              <w:ind w:left="0" w:right="0"/>
            </w:pPr>
            <w:r>
              <w:rPr>
                <w:b w:val="1"/>
              </w:rPr>
              <w:t>Sqrt</w:t>
            </w:r>
          </w:p>
        </w:tc>
        <w:tc>
          <w:tcPr>
            <w:tcW w:w="0" w:type="auto"/>
            <w:vAlign w:val="center"/>
            <w:hideMark/>
          </w:tcPr>
          <w:p>
            <w:pPr>
              <w:pStyle w:val="P7"/>
              <w:ind w:left="0" w:right="0"/>
            </w:pPr>
            <w:r>
              <w:t xml:space="preserve">Computes </w:t>
            </w:r>
            <w:r>
              <w:rPr>
                <w:i w:val="1"/>
              </w:rPr>
              <w:t>sqrt</w:t>
            </w:r>
            <w:r>
              <w:t xml:space="preserve"> function.</w:t>
            </w:r>
          </w:p>
        </w:tc>
      </w:tr>
      <w:tr>
        <w:tc>
          <w:tcPr>
            <w:tcW w:w="0" w:type="auto"/>
            <w:vAlign w:val="center"/>
            <w:hideMark/>
          </w:tcPr>
          <w:p>
            <w:pPr>
              <w:pStyle w:val="P7"/>
              <w:ind w:left="0" w:right="0"/>
            </w:pPr>
            <w:r>
              <w:rPr>
                <w:b w:val="1"/>
              </w:rPr>
              <w:t>Tan</w:t>
            </w:r>
          </w:p>
        </w:tc>
        <w:tc>
          <w:tcPr>
            <w:tcW w:w="0" w:type="auto"/>
            <w:vAlign w:val="center"/>
            <w:hideMark/>
          </w:tcPr>
          <w:p>
            <w:pPr>
              <w:pStyle w:val="P7"/>
              <w:ind w:left="0" w:right="0"/>
            </w:pPr>
            <w:r>
              <w:t xml:space="preserve">Computes </w:t>
            </w:r>
            <w:r>
              <w:rPr>
                <w:i w:val="1"/>
              </w:rPr>
              <w:t>tan</w:t>
            </w:r>
            <w:r>
              <w:t xml:space="preserve"> function.</w:t>
            </w:r>
          </w:p>
        </w:tc>
      </w:tr>
      <w:tr>
        <w:tc>
          <w:tcPr>
            <w:tcW w:w="0" w:type="auto"/>
            <w:vAlign w:val="center"/>
            <w:hideMark/>
          </w:tcPr>
          <w:p>
            <w:pPr>
              <w:pStyle w:val="P7"/>
              <w:ind w:left="0" w:right="0"/>
            </w:pPr>
            <w:r>
              <w:rPr>
                <w:b w:val="1"/>
              </w:rPr>
              <w:t>Tanh</w:t>
            </w:r>
          </w:p>
        </w:tc>
        <w:tc>
          <w:tcPr>
            <w:tcW w:w="0" w:type="auto"/>
            <w:vAlign w:val="center"/>
            <w:hideMark/>
          </w:tcPr>
          <w:p>
            <w:pPr>
              <w:pStyle w:val="P7"/>
              <w:ind w:left="0" w:right="0"/>
            </w:pPr>
            <w:r>
              <w:t xml:space="preserve">Computes </w:t>
            </w:r>
            <w:r>
              <w:rPr>
                <w:i w:val="1"/>
              </w:rPr>
              <w:t>tanh</w:t>
            </w:r>
            <w:r>
              <w:t xml:space="preserve"> function.</w:t>
            </w:r>
          </w:p>
        </w:tc>
      </w:tr>
      <w:tr>
        <w:tc>
          <w:tcPr>
            <w:tcW w:w="0" w:type="auto"/>
            <w:vAlign w:val="center"/>
            <w:hideMark/>
          </w:tcPr>
          <w:p>
            <w:pPr>
              <w:pStyle w:val="P7"/>
              <w:ind w:left="0" w:right="0"/>
            </w:pPr>
            <w:r>
              <w:rPr>
                <w:b w:val="1"/>
              </w:rPr>
              <w:t>Truncate</w:t>
            </w:r>
          </w:p>
        </w:tc>
        <w:tc>
          <w:tcPr>
            <w:tcW w:w="0" w:type="auto"/>
            <w:vAlign w:val="center"/>
            <w:hideMark/>
          </w:tcPr>
          <w:p>
            <w:pPr>
              <w:pStyle w:val="P7"/>
              <w:ind w:left="0" w:right="0"/>
            </w:pPr>
            <w:r>
              <w:t xml:space="preserve">Computes </w:t>
            </w:r>
            <w:r>
              <w:rPr>
                <w:i w:val="1"/>
              </w:rPr>
              <w:t>truncate</w:t>
            </w:r>
            <w:r>
              <w:t xml:space="preserve"> function.</w:t>
            </w:r>
          </w:p>
        </w:tc>
      </w:tr>
    </w:tbl>
    <w:p>
      <w:pPr>
        <w:pStyle w:val="P7"/>
      </w:pPr>
    </w:p>
    <w:p>
      <w:pPr>
        <w:pStyle w:val="P4"/>
      </w:pPr>
      <w:bookmarkStart w:id="11" w:name="_Toc1465885417"/>
      <w:r>
        <w:t>Path</w:t>
      </w:r>
      <w:bookmarkEnd w:id="11"/>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PathChangeExtension</w:t>
            </w:r>
          </w:p>
        </w:tc>
        <w:tc>
          <w:tcPr>
            <w:tcW w:w="0" w:type="auto"/>
            <w:vAlign w:val="center"/>
            <w:hideMark/>
          </w:tcPr>
          <w:p>
            <w:pPr>
              <w:pStyle w:val="P7"/>
              <w:ind w:left="0" w:right="0"/>
            </w:pPr>
            <w:r>
              <w:t>Changes extension of provided filename.</w:t>
            </w:r>
          </w:p>
        </w:tc>
      </w:tr>
      <w:tr>
        <w:tc>
          <w:tcPr>
            <w:tcW w:w="0" w:type="auto"/>
            <w:vAlign w:val="center"/>
            <w:hideMark/>
          </w:tcPr>
          <w:p>
            <w:pPr>
              <w:pStyle w:val="P7"/>
              <w:ind w:left="0" w:right="0"/>
            </w:pPr>
            <w:r>
              <w:rPr>
                <w:b w:val="1"/>
              </w:rPr>
              <w:t>PathCombine</w:t>
            </w:r>
          </w:p>
        </w:tc>
        <w:tc>
          <w:tcPr>
            <w:tcW w:w="0" w:type="auto"/>
            <w:vAlign w:val="center"/>
            <w:hideMark/>
          </w:tcPr>
          <w:p>
            <w:pPr>
              <w:pStyle w:val="P7"/>
              <w:ind w:left="0" w:right="0"/>
            </w:pPr>
            <w:r>
              <w:t>Combines parts of the path.</w:t>
            </w:r>
          </w:p>
        </w:tc>
      </w:tr>
      <w:tr>
        <w:tc>
          <w:tcPr>
            <w:tcW w:w="0" w:type="auto"/>
            <w:vAlign w:val="center"/>
            <w:hideMark/>
          </w:tcPr>
          <w:p>
            <w:pPr>
              <w:pStyle w:val="P7"/>
              <w:ind w:left="0" w:right="0"/>
            </w:pPr>
            <w:r>
              <w:rPr>
                <w:b w:val="1"/>
              </w:rPr>
              <w:t>PathGetDirectoryName</w:t>
            </w:r>
          </w:p>
        </w:tc>
        <w:tc>
          <w:tcPr>
            <w:tcW w:w="0" w:type="auto"/>
            <w:vAlign w:val="center"/>
            <w:hideMark/>
          </w:tcPr>
          <w:p>
            <w:pPr>
              <w:pStyle w:val="P7"/>
              <w:ind w:left="0" w:right="0"/>
            </w:pPr>
            <w:r>
              <w:t>Returns directory name of the path.</w:t>
            </w:r>
          </w:p>
        </w:tc>
      </w:tr>
      <w:tr>
        <w:tc>
          <w:tcPr>
            <w:tcW w:w="0" w:type="auto"/>
            <w:vAlign w:val="center"/>
            <w:hideMark/>
          </w:tcPr>
          <w:p>
            <w:pPr>
              <w:pStyle w:val="P7"/>
              <w:ind w:left="0" w:right="0"/>
            </w:pPr>
            <w:r>
              <w:rPr>
                <w:b w:val="1"/>
              </w:rPr>
              <w:t>PathGetExtension</w:t>
            </w:r>
          </w:p>
        </w:tc>
        <w:tc>
          <w:tcPr>
            <w:tcW w:w="0" w:type="auto"/>
            <w:vAlign w:val="center"/>
            <w:hideMark/>
          </w:tcPr>
          <w:p>
            <w:pPr>
              <w:pStyle w:val="P7"/>
              <w:ind w:left="0" w:right="0"/>
            </w:pPr>
            <w:r>
              <w:t>Returns extension of the path.</w:t>
            </w:r>
          </w:p>
        </w:tc>
      </w:tr>
      <w:tr>
        <w:tc>
          <w:tcPr>
            <w:tcW w:w="0" w:type="auto"/>
            <w:vAlign w:val="center"/>
            <w:hideMark/>
          </w:tcPr>
          <w:p>
            <w:pPr>
              <w:pStyle w:val="P7"/>
              <w:ind w:left="0" w:right="0"/>
            </w:pPr>
            <w:r>
              <w:rPr>
                <w:b w:val="1"/>
              </w:rPr>
              <w:t>PathGetFileName</w:t>
            </w:r>
          </w:p>
        </w:tc>
        <w:tc>
          <w:tcPr>
            <w:tcW w:w="0" w:type="auto"/>
            <w:vAlign w:val="center"/>
            <w:hideMark/>
          </w:tcPr>
          <w:p>
            <w:pPr>
              <w:pStyle w:val="P7"/>
              <w:ind w:left="0" w:right="0"/>
            </w:pPr>
            <w:r>
              <w:t>Returns file name of the path.</w:t>
            </w:r>
          </w:p>
        </w:tc>
      </w:tr>
      <w:tr>
        <w:tc>
          <w:tcPr>
            <w:tcW w:w="0" w:type="auto"/>
            <w:vAlign w:val="center"/>
            <w:hideMark/>
          </w:tcPr>
          <w:p>
            <w:pPr>
              <w:pStyle w:val="P7"/>
              <w:ind w:left="0" w:right="0"/>
            </w:pPr>
            <w:r>
              <w:rPr>
                <w:b w:val="1"/>
              </w:rPr>
              <w:t>PathGetFileNameWithoutExtension</w:t>
            </w:r>
          </w:p>
        </w:tc>
        <w:tc>
          <w:tcPr>
            <w:tcW w:w="0" w:type="auto"/>
            <w:vAlign w:val="center"/>
            <w:hideMark/>
          </w:tcPr>
          <w:p>
            <w:pPr>
              <w:pStyle w:val="P7"/>
              <w:ind w:left="0" w:right="0"/>
            </w:pPr>
            <w:r>
              <w:t>Returns file name without extension of the path.</w:t>
            </w:r>
          </w:p>
        </w:tc>
      </w:tr>
    </w:tbl>
    <w:p>
      <w:pPr>
        <w:pStyle w:val="P7"/>
      </w:pPr>
    </w:p>
    <w:p>
      <w:pPr>
        <w:pStyle w:val="P4"/>
      </w:pPr>
      <w:bookmarkStart w:id="12" w:name="_Toc1016634943"/>
      <w:r>
        <w:t>Random</w:t>
      </w:r>
      <w:bookmarkEnd w:id="12"/>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RandNormal</w:t>
            </w:r>
          </w:p>
        </w:tc>
        <w:tc>
          <w:tcPr>
            <w:tcW w:w="0" w:type="auto"/>
            <w:vAlign w:val="center"/>
            <w:hideMark/>
          </w:tcPr>
          <w:p>
            <w:pPr>
              <w:pStyle w:val="P7"/>
              <w:ind w:left="0" w:right="0"/>
            </w:pPr>
            <w:r>
              <w:t>Returns random number with normal distribution.</w:t>
            </w:r>
          </w:p>
        </w:tc>
      </w:tr>
      <w:tr>
        <w:tc>
          <w:tcPr>
            <w:tcW w:w="0" w:type="auto"/>
            <w:vAlign w:val="center"/>
            <w:hideMark/>
          </w:tcPr>
          <w:p>
            <w:pPr>
              <w:pStyle w:val="P7"/>
              <w:ind w:left="0" w:right="0"/>
            </w:pPr>
            <w:r>
              <w:rPr>
                <w:b w:val="1"/>
              </w:rPr>
              <w:t>RandTriangular</w:t>
            </w:r>
          </w:p>
        </w:tc>
        <w:tc>
          <w:tcPr>
            <w:tcW w:w="0" w:type="auto"/>
            <w:vAlign w:val="center"/>
            <w:hideMark/>
          </w:tcPr>
          <w:p>
            <w:pPr>
              <w:pStyle w:val="P7"/>
              <w:ind w:left="0" w:right="0"/>
            </w:pPr>
            <w:r>
              <w:t>Returns random number with triangular distribution.</w:t>
            </w:r>
          </w:p>
        </w:tc>
      </w:tr>
      <w:tr>
        <w:tc>
          <w:tcPr>
            <w:tcW w:w="0" w:type="auto"/>
            <w:vAlign w:val="center"/>
            <w:hideMark/>
          </w:tcPr>
          <w:p>
            <w:pPr>
              <w:pStyle w:val="P7"/>
              <w:ind w:left="0" w:right="0"/>
            </w:pPr>
            <w:r>
              <w:rPr>
                <w:b w:val="1"/>
              </w:rPr>
              <w:t>RandUniform</w:t>
            </w:r>
          </w:p>
        </w:tc>
        <w:tc>
          <w:tcPr>
            <w:tcW w:w="0" w:type="auto"/>
            <w:vAlign w:val="center"/>
            <w:hideMark/>
          </w:tcPr>
          <w:p>
            <w:pPr>
              <w:pStyle w:val="P7"/>
              <w:ind w:left="0" w:right="0"/>
            </w:pPr>
            <w:r>
              <w:t>Returns random number with uniform distribution.</w:t>
            </w:r>
          </w:p>
        </w:tc>
      </w:tr>
    </w:tbl>
    <w:p>
      <w:pPr>
        <w:pStyle w:val="P7"/>
      </w:pPr>
    </w:p>
    <w:p>
      <w:pPr>
        <w:pStyle w:val="P4"/>
      </w:pPr>
      <w:bookmarkStart w:id="13" w:name="_Toc1270128251"/>
      <w:r>
        <w:t>Regular Expressions</w:t>
      </w:r>
      <w:bookmarkEnd w:id="13"/>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RegexIsMatch</w:t>
            </w:r>
          </w:p>
        </w:tc>
        <w:tc>
          <w:tcPr>
            <w:tcW w:w="0" w:type="auto"/>
            <w:vAlign w:val="center"/>
            <w:hideMark/>
          </w:tcPr>
          <w:p>
            <w:pPr>
              <w:pStyle w:val="P7"/>
              <w:ind w:left="0" w:right="0"/>
            </w:pPr>
            <w:r>
              <w:t>Returns 1 if string matches provided regular expression pattern and 0 otherwise. Parameters are input string and pattern.</w:t>
            </w:r>
          </w:p>
        </w:tc>
      </w:tr>
      <w:tr>
        <w:tc>
          <w:tcPr>
            <w:tcW w:w="0" w:type="auto"/>
            <w:vAlign w:val="center"/>
            <w:hideMark/>
          </w:tcPr>
          <w:p>
            <w:pPr>
              <w:pStyle w:val="P7"/>
              <w:ind w:left="0" w:right="0"/>
            </w:pPr>
            <w:r>
              <w:rPr>
                <w:b w:val="1"/>
              </w:rPr>
              <w:t>RegexMatch</w:t>
            </w:r>
          </w:p>
        </w:tc>
        <w:tc>
          <w:tcPr>
            <w:tcW w:w="0" w:type="auto"/>
            <w:vAlign w:val="center"/>
            <w:hideMark/>
          </w:tcPr>
          <w:p>
            <w:pPr>
              <w:pStyle w:val="P7"/>
              <w:ind w:left="0" w:right="0"/>
            </w:pPr>
            <w:r>
              <w:t>Searches the specified input string for the first occurrence of the regular expression. Parameters are input string, pattern and optional match number.</w:t>
            </w:r>
          </w:p>
        </w:tc>
      </w:tr>
      <w:tr>
        <w:tc>
          <w:tcPr>
            <w:tcW w:w="0" w:type="auto"/>
            <w:vAlign w:val="center"/>
            <w:hideMark/>
          </w:tcPr>
          <w:p>
            <w:pPr>
              <w:pStyle w:val="P7"/>
              <w:ind w:left="0" w:right="0"/>
            </w:pPr>
            <w:r>
              <w:rPr>
                <w:b w:val="1"/>
              </w:rPr>
              <w:t>RegexNamedMatch</w:t>
            </w:r>
          </w:p>
        </w:tc>
        <w:tc>
          <w:tcPr>
            <w:tcW w:w="0" w:type="auto"/>
            <w:vAlign w:val="center"/>
            <w:hideMark/>
          </w:tcPr>
          <w:p>
            <w:pPr>
              <w:pStyle w:val="P7"/>
              <w:ind w:left="0" w:right="0"/>
            </w:pPr>
            <w:r>
              <w:t>Searches the specified input string for the first occurrence of the regular expression and returns value of named group. Parameters are input string, pattern, group name and optional match number.</w:t>
            </w:r>
          </w:p>
        </w:tc>
      </w:tr>
      <w:tr>
        <w:tc>
          <w:tcPr>
            <w:tcW w:w="0" w:type="auto"/>
            <w:vAlign w:val="center"/>
            <w:hideMark/>
          </w:tcPr>
          <w:p>
            <w:pPr>
              <w:pStyle w:val="P7"/>
              <w:ind w:left="0" w:right="0"/>
            </w:pPr>
            <w:r>
              <w:rPr>
                <w:b w:val="1"/>
              </w:rPr>
              <w:t>RegexReplace</w:t>
            </w:r>
          </w:p>
        </w:tc>
        <w:tc>
          <w:tcPr>
            <w:tcW w:w="0" w:type="auto"/>
            <w:vAlign w:val="center"/>
            <w:hideMark/>
          </w:tcPr>
          <w:p>
            <w:pPr>
              <w:pStyle w:val="P7"/>
              <w:ind w:left="0" w:right="0"/>
            </w:pPr>
            <w:r>
              <w:t>In a specified input string, replaces all strings that match a specified regular expression with a specified replacement string. Parameters are input string, pattern and replacement.</w:t>
            </w:r>
          </w:p>
        </w:tc>
      </w:tr>
    </w:tbl>
    <w:p>
      <w:pPr>
        <w:pStyle w:val="P7"/>
      </w:pPr>
    </w:p>
    <w:p>
      <w:pPr>
        <w:pStyle w:val="P4"/>
      </w:pPr>
      <w:bookmarkStart w:id="14" w:name="_Toc44989621"/>
      <w:r>
        <w:t>String</w:t>
      </w:r>
      <w:bookmarkEnd w:id="14"/>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StringFormat</w:t>
            </w:r>
          </w:p>
        </w:tc>
        <w:tc>
          <w:tcPr>
            <w:tcW w:w="0" w:type="auto"/>
            <w:vAlign w:val="center"/>
            <w:hideMark/>
          </w:tcPr>
          <w:p>
            <w:pPr>
              <w:pStyle w:val="P7"/>
              <w:ind w:left="0" w:right="0"/>
            </w:pPr>
            <w:r>
              <w:t>Formats string in .Net style.</w:t>
            </w:r>
          </w:p>
        </w:tc>
      </w:tr>
    </w:tbl>
    <w:p>
      <w:pPr>
        <w:pStyle w:val="P7"/>
      </w:pPr>
    </w:p>
    <w:p>
      <w:pPr>
        <w:pStyle w:val="P3"/>
      </w:pPr>
      <w:bookmarkStart w:id="15" w:name="_Toc1263373544"/>
      <w:r>
        <w:t>Aggreagate functions</w:t>
      </w:r>
      <w:bookmarkEnd w:id="15"/>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AVG_GEOM</w:t>
            </w:r>
          </w:p>
        </w:tc>
        <w:tc>
          <w:tcPr>
            <w:tcW w:w="0" w:type="auto"/>
            <w:vAlign w:val="center"/>
            <w:hideMark/>
          </w:tcPr>
          <w:p>
            <w:pPr>
              <w:pStyle w:val="P7"/>
              <w:ind w:left="0" w:right="0"/>
            </w:pPr>
            <w:r>
              <w:t xml:space="preserve">Evaluates the geometric mean. </w:t>
            </w:r>
          </w:p>
        </w:tc>
      </w:tr>
      <w:tr>
        <w:tc>
          <w:tcPr>
            <w:tcW w:w="0" w:type="auto"/>
            <w:vAlign w:val="center"/>
            <w:hideMark/>
          </w:tcPr>
          <w:p>
            <w:pPr>
              <w:pStyle w:val="P7"/>
              <w:ind w:left="0" w:right="0"/>
            </w:pPr>
            <w:r>
              <w:rPr>
                <w:b w:val="1"/>
              </w:rPr>
              <w:t>AVG_HARMONIC</w:t>
            </w:r>
          </w:p>
        </w:tc>
        <w:tc>
          <w:tcPr>
            <w:tcW w:w="0" w:type="auto"/>
            <w:vAlign w:val="center"/>
            <w:hideMark/>
          </w:tcPr>
          <w:p>
            <w:pPr>
              <w:pStyle w:val="P7"/>
              <w:ind w:left="0" w:right="0"/>
            </w:pPr>
            <w:r>
              <w:t>Evaluates the harmonic mean.</w:t>
            </w:r>
          </w:p>
        </w:tc>
      </w:tr>
      <w:tr>
        <w:tc>
          <w:tcPr>
            <w:tcW w:w="0" w:type="auto"/>
            <w:vAlign w:val="center"/>
            <w:hideMark/>
          </w:tcPr>
          <w:p>
            <w:pPr>
              <w:pStyle w:val="P7"/>
              <w:ind w:left="0" w:right="0"/>
            </w:pPr>
            <w:r>
              <w:rPr>
                <w:b w:val="1"/>
              </w:rPr>
              <w:t>CORR</w:t>
            </w:r>
          </w:p>
        </w:tc>
        <w:tc>
          <w:tcPr>
            <w:tcW w:w="0" w:type="auto"/>
            <w:vAlign w:val="center"/>
            <w:hideMark/>
          </w:tcPr>
          <w:p>
            <w:pPr>
              <w:pStyle w:val="P7"/>
              <w:ind w:left="0" w:right="0"/>
            </w:pPr>
            <w:r>
              <w:t>Computes the Pearson Product-Moment Correlation coefficient.</w:t>
            </w:r>
          </w:p>
        </w:tc>
      </w:tr>
      <w:tr>
        <w:tc>
          <w:tcPr>
            <w:tcW w:w="0" w:type="auto"/>
            <w:vAlign w:val="center"/>
            <w:hideMark/>
          </w:tcPr>
          <w:p>
            <w:pPr>
              <w:pStyle w:val="P7"/>
              <w:ind w:left="0" w:right="0"/>
            </w:pPr>
            <w:r>
              <w:rPr>
                <w:b w:val="1"/>
              </w:rPr>
              <w:t>CORR_SPEARMAN</w:t>
            </w:r>
          </w:p>
        </w:tc>
        <w:tc>
          <w:tcPr>
            <w:tcW w:w="0" w:type="auto"/>
            <w:vAlign w:val="center"/>
            <w:hideMark/>
          </w:tcPr>
          <w:p>
            <w:pPr>
              <w:pStyle w:val="P7"/>
              <w:ind w:left="0" w:right="0"/>
            </w:pPr>
            <w:r>
              <w:t>Spearman correlation.</w:t>
            </w:r>
          </w:p>
        </w:tc>
      </w:tr>
      <w:tr>
        <w:tc>
          <w:tcPr>
            <w:tcW w:w="0" w:type="auto"/>
            <w:vAlign w:val="center"/>
            <w:hideMark/>
          </w:tcPr>
          <w:p>
            <w:pPr>
              <w:pStyle w:val="P7"/>
              <w:ind w:left="0" w:right="0"/>
            </w:pPr>
            <w:r>
              <w:rPr>
                <w:b w:val="1"/>
              </w:rPr>
              <w:t>COVAR</w:t>
            </w:r>
          </w:p>
        </w:tc>
        <w:tc>
          <w:tcPr>
            <w:tcW w:w="0" w:type="auto"/>
            <w:vAlign w:val="center"/>
            <w:hideMark/>
          </w:tcPr>
          <w:p>
            <w:pPr>
              <w:pStyle w:val="P7"/>
              <w:ind w:left="0" w:right="0"/>
            </w:pPr>
            <w:r>
              <w:t>Estimates the unbiased population covariance from the provided samples. On a dataset of size N will use an N-1 normalizer (Bessel's correction).</w:t>
            </w:r>
          </w:p>
        </w:tc>
      </w:tr>
      <w:tr>
        <w:tc>
          <w:tcPr>
            <w:tcW w:w="0" w:type="auto"/>
            <w:vAlign w:val="center"/>
            <w:hideMark/>
          </w:tcPr>
          <w:p>
            <w:pPr>
              <w:pStyle w:val="P7"/>
              <w:ind w:left="0" w:right="0"/>
            </w:pPr>
            <w:r>
              <w:rPr>
                <w:b w:val="1"/>
              </w:rPr>
              <w:t>COVARP</w:t>
            </w:r>
          </w:p>
        </w:tc>
        <w:tc>
          <w:tcPr>
            <w:tcW w:w="0" w:type="auto"/>
            <w:vAlign w:val="center"/>
            <w:hideMark/>
          </w:tcPr>
          <w:p>
            <w:pPr>
              <w:pStyle w:val="P7"/>
              <w:ind w:left="0" w:right="0"/>
            </w:pPr>
            <w:r>
              <w:t>valuates the population covariance from the provided full populations. On a dataset of size N will use an N normalizer and would thus be biased if applied to a subset.</w:t>
            </w:r>
          </w:p>
        </w:tc>
      </w:tr>
      <w:tr>
        <w:tc>
          <w:tcPr>
            <w:tcW w:w="0" w:type="auto"/>
            <w:vAlign w:val="center"/>
            <w:hideMark/>
          </w:tcPr>
          <w:p>
            <w:pPr>
              <w:pStyle w:val="P7"/>
              <w:ind w:left="0" w:right="0"/>
            </w:pPr>
            <w:r>
              <w:rPr>
                <w:b w:val="1"/>
              </w:rPr>
              <w:t>STDEV</w:t>
            </w:r>
          </w:p>
        </w:tc>
        <w:tc>
          <w:tcPr>
            <w:tcW w:w="0" w:type="auto"/>
            <w:vAlign w:val="center"/>
            <w:hideMark/>
          </w:tcPr>
          <w:p>
            <w:pPr>
              <w:pStyle w:val="P7"/>
              <w:ind w:left="0" w:right="0"/>
            </w:pPr>
            <w:r>
              <w:t xml:space="preserve">Estimates the unbiased population standard deviation from the provided samples. On a dataset of size N will use an N-1 normalizer (Bessel's correction). </w:t>
            </w:r>
          </w:p>
        </w:tc>
      </w:tr>
      <w:tr>
        <w:tc>
          <w:tcPr>
            <w:tcW w:w="0" w:type="auto"/>
            <w:vAlign w:val="center"/>
            <w:hideMark/>
          </w:tcPr>
          <w:p>
            <w:pPr>
              <w:pStyle w:val="P7"/>
              <w:ind w:left="0" w:right="0"/>
            </w:pPr>
            <w:r>
              <w:rPr>
                <w:b w:val="1"/>
              </w:rPr>
              <w:t>STDEVP</w:t>
            </w:r>
          </w:p>
        </w:tc>
        <w:tc>
          <w:tcPr>
            <w:tcW w:w="0" w:type="auto"/>
            <w:vAlign w:val="center"/>
            <w:hideMark/>
          </w:tcPr>
          <w:p>
            <w:pPr>
              <w:pStyle w:val="P7"/>
              <w:ind w:left="0" w:right="0"/>
            </w:pPr>
            <w:r>
              <w:t>Evaluates the variance from the provided full population. On a dataset of size N will use an N normalizer and would thus be biased if applied to a subset.</w:t>
            </w:r>
          </w:p>
        </w:tc>
      </w:tr>
      <w:tr>
        <w:tc>
          <w:tcPr>
            <w:tcW w:w="0" w:type="auto"/>
            <w:vAlign w:val="center"/>
            <w:hideMark/>
          </w:tcPr>
          <w:p>
            <w:pPr>
              <w:pStyle w:val="P7"/>
              <w:ind w:left="0" w:right="0"/>
            </w:pPr>
            <w:r>
              <w:rPr>
                <w:b w:val="1"/>
              </w:rPr>
              <w:t>VAR</w:t>
            </w:r>
          </w:p>
        </w:tc>
        <w:tc>
          <w:tcPr>
            <w:tcW w:w="0" w:type="auto"/>
            <w:vAlign w:val="center"/>
            <w:hideMark/>
          </w:tcPr>
          <w:p>
            <w:pPr>
              <w:pStyle w:val="P7"/>
              <w:ind w:left="0" w:right="0"/>
            </w:pPr>
            <w:r>
              <w:t>Estimates the unbiased population variance from the provided samples. On a dataset of size N will use an N-1 normalizer (Bessel's correction).</w:t>
            </w:r>
          </w:p>
        </w:tc>
      </w:tr>
      <w:tr>
        <w:tc>
          <w:tcPr>
            <w:tcW w:w="0" w:type="auto"/>
            <w:vAlign w:val="center"/>
            <w:hideMark/>
          </w:tcPr>
          <w:p>
            <w:pPr>
              <w:pStyle w:val="P7"/>
              <w:ind w:left="0" w:right="0"/>
            </w:pPr>
            <w:r>
              <w:rPr>
                <w:b w:val="1"/>
              </w:rPr>
              <w:t>VARP</w:t>
            </w:r>
          </w:p>
        </w:tc>
        <w:tc>
          <w:tcPr>
            <w:tcW w:w="0" w:type="auto"/>
            <w:vAlign w:val="center"/>
            <w:hideMark/>
          </w:tcPr>
          <w:p>
            <w:pPr>
              <w:pStyle w:val="P7"/>
              <w:ind w:left="0" w:right="0"/>
            </w:pPr>
            <w:r>
              <w:t>Evaluates the variance from the provided full population. On a dataset of size N will use an N normalizer and would thus be biased if applied to a subset.</w:t>
            </w:r>
          </w:p>
        </w:tc>
      </w:tr>
      <w:tr>
        <w:tc>
          <w:tcPr>
            <w:tcW w:w="0" w:type="auto"/>
            <w:vAlign w:val="center"/>
            <w:hideMark/>
          </w:tcPr>
          <w:p>
            <w:pPr>
              <w:pStyle w:val="P7"/>
              <w:ind w:left="0" w:right="0"/>
            </w:pPr>
            <w:r>
              <w:rPr>
                <w:b w:val="1"/>
              </w:rPr>
              <w:t>InterQuantileRange</w:t>
            </w:r>
          </w:p>
        </w:tc>
        <w:tc>
          <w:tcPr>
            <w:tcW w:w="0" w:type="auto"/>
            <w:vAlign w:val="center"/>
            <w:hideMark/>
          </w:tcPr>
          <w:p>
            <w:pPr>
              <w:pStyle w:val="P7"/>
              <w:ind w:left="0" w:right="0"/>
            </w:pPr>
            <w:r>
              <w:t>Estimates the inter-quartile range from the provided samples. Approximately median-unbiased regardless of the sample distribution.</w:t>
            </w:r>
          </w:p>
        </w:tc>
      </w:tr>
      <w:tr>
        <w:tc>
          <w:tcPr>
            <w:tcW w:w="0" w:type="auto"/>
            <w:vAlign w:val="center"/>
            <w:hideMark/>
          </w:tcPr>
          <w:p>
            <w:pPr>
              <w:pStyle w:val="P7"/>
              <w:ind w:left="0" w:right="0"/>
            </w:pPr>
            <w:r>
              <w:rPr>
                <w:b w:val="1"/>
              </w:rPr>
              <w:t>Kurtosis</w:t>
            </w:r>
          </w:p>
        </w:tc>
        <w:tc>
          <w:tcPr>
            <w:tcW w:w="0" w:type="auto"/>
            <w:vAlign w:val="center"/>
            <w:hideMark/>
          </w:tcPr>
          <w:p>
            <w:pPr>
              <w:pStyle w:val="P7"/>
              <w:ind w:left="0" w:right="0"/>
            </w:pPr>
            <w:r>
              <w:t>Estimates the unbiased population kurtosis from the provided samples. Uses a normalizer (Bessel's correction; type 2).</w:t>
            </w:r>
          </w:p>
        </w:tc>
      </w:tr>
      <w:tr>
        <w:tc>
          <w:tcPr>
            <w:tcW w:w="0" w:type="auto"/>
            <w:vAlign w:val="center"/>
            <w:hideMark/>
          </w:tcPr>
          <w:p>
            <w:pPr>
              <w:pStyle w:val="P7"/>
              <w:ind w:left="0" w:right="0"/>
            </w:pPr>
            <w:r>
              <w:rPr>
                <w:b w:val="1"/>
              </w:rPr>
              <w:t>KurtosisP</w:t>
            </w:r>
          </w:p>
        </w:tc>
        <w:tc>
          <w:tcPr>
            <w:tcW w:w="0" w:type="auto"/>
            <w:vAlign w:val="center"/>
            <w:hideMark/>
          </w:tcPr>
          <w:p>
            <w:pPr>
              <w:pStyle w:val="P7"/>
              <w:ind w:left="0" w:right="0"/>
            </w:pPr>
            <w:r>
              <w:t>Evaluates the kurtosis from the full population. Does not use a normalizer and would thus be biased if applied to a subset (type 1).</w:t>
            </w:r>
          </w:p>
        </w:tc>
      </w:tr>
      <w:tr>
        <w:tc>
          <w:tcPr>
            <w:tcW w:w="0" w:type="auto"/>
            <w:vAlign w:val="center"/>
            <w:hideMark/>
          </w:tcPr>
          <w:p>
            <w:pPr>
              <w:pStyle w:val="P7"/>
              <w:ind w:left="0" w:right="0"/>
            </w:pPr>
            <w:r>
              <w:rPr>
                <w:b w:val="1"/>
              </w:rPr>
              <w:t>Median</w:t>
            </w:r>
          </w:p>
        </w:tc>
        <w:tc>
          <w:tcPr>
            <w:tcW w:w="0" w:type="auto"/>
            <w:vAlign w:val="center"/>
            <w:hideMark/>
          </w:tcPr>
          <w:p>
            <w:pPr>
              <w:pStyle w:val="P7"/>
              <w:ind w:left="0" w:right="0"/>
            </w:pPr>
            <w:r>
              <w:t>Estimates the sample median from the provided samples.</w:t>
            </w:r>
          </w:p>
        </w:tc>
      </w:tr>
      <w:tr>
        <w:tc>
          <w:tcPr>
            <w:tcW w:w="0" w:type="auto"/>
            <w:vAlign w:val="center"/>
            <w:hideMark/>
          </w:tcPr>
          <w:p>
            <w:pPr>
              <w:pStyle w:val="P7"/>
              <w:ind w:left="0" w:right="0"/>
            </w:pPr>
            <w:r>
              <w:rPr>
                <w:b w:val="1"/>
              </w:rPr>
              <w:t>Skewness</w:t>
            </w:r>
          </w:p>
        </w:tc>
        <w:tc>
          <w:tcPr>
            <w:tcW w:w="0" w:type="auto"/>
            <w:vAlign w:val="center"/>
            <w:hideMark/>
          </w:tcPr>
          <w:p>
            <w:pPr>
              <w:pStyle w:val="P7"/>
              <w:ind w:left="0" w:right="0"/>
            </w:pPr>
            <w:r>
              <w:t>Estimates the unbiased population skewness from the provided samples. Uses a normalizer (Bessel's correction; type 2).</w:t>
            </w:r>
          </w:p>
        </w:tc>
      </w:tr>
      <w:tr>
        <w:tc>
          <w:tcPr>
            <w:tcW w:w="0" w:type="auto"/>
            <w:vAlign w:val="center"/>
            <w:hideMark/>
          </w:tcPr>
          <w:p>
            <w:pPr>
              <w:pStyle w:val="P7"/>
              <w:ind w:left="0" w:right="0"/>
            </w:pPr>
            <w:r>
              <w:rPr>
                <w:b w:val="1"/>
              </w:rPr>
              <w:t>SkewnessP</w:t>
            </w:r>
          </w:p>
        </w:tc>
        <w:tc>
          <w:tcPr>
            <w:tcW w:w="0" w:type="auto"/>
            <w:vAlign w:val="center"/>
            <w:hideMark/>
          </w:tcPr>
          <w:p>
            <w:pPr>
              <w:pStyle w:val="P7"/>
              <w:ind w:left="0" w:right="0"/>
            </w:pPr>
            <w:r>
              <w:t>Evaluates the skewness from the full population. Does not use a normalizer and would thus be biased if applied to a subset (type 1).</w:t>
            </w:r>
          </w:p>
        </w:tc>
      </w:tr>
      <w:tr>
        <w:tc>
          <w:tcPr>
            <w:tcW w:w="0" w:type="auto"/>
            <w:vAlign w:val="center"/>
            <w:hideMark/>
          </w:tcPr>
          <w:p>
            <w:pPr>
              <w:pStyle w:val="P7"/>
              <w:ind w:left="0" w:right="0"/>
            </w:pPr>
            <w:r>
              <w:rPr>
                <w:b w:val="1"/>
              </w:rPr>
              <w:t>Quantile</w:t>
            </w:r>
          </w:p>
        </w:tc>
        <w:tc>
          <w:tcPr>
            <w:tcW w:w="0" w:type="auto"/>
            <w:vAlign w:val="center"/>
            <w:hideMark/>
          </w:tcPr>
          <w:p>
            <w:pPr>
              <w:pStyle w:val="P7"/>
              <w:ind w:left="0" w:right="0"/>
            </w:pPr>
            <w:r>
              <w:t>Estimates the tau-th quantile from the provided samples. The tau-th quantile is the data value where the cumulative distribution function crosses tau. Approximately median-unbiased regardless of the sample distribution.</w:t>
            </w:r>
          </w:p>
        </w:tc>
      </w:tr>
      <w:tr>
        <w:tc>
          <w:tcPr>
            <w:tcW w:w="0" w:type="auto"/>
            <w:vAlign w:val="center"/>
            <w:hideMark/>
          </w:tcPr>
          <w:p>
            <w:pPr>
              <w:pStyle w:val="P7"/>
              <w:ind w:left="0" w:right="0"/>
            </w:pPr>
            <w:r>
              <w:rPr>
                <w:b w:val="1"/>
              </w:rPr>
              <w:t>RMS</w:t>
            </w:r>
          </w:p>
        </w:tc>
        <w:tc>
          <w:tcPr>
            <w:tcW w:w="0" w:type="auto"/>
            <w:vAlign w:val="center"/>
            <w:hideMark/>
          </w:tcPr>
          <w:p>
            <w:pPr>
              <w:pStyle w:val="P7"/>
              <w:ind w:left="0" w:right="0"/>
            </w:pPr>
            <w:r>
              <w:t>Evaluates the root mean square (RMS) also known as quadratic mean.</w:t>
            </w:r>
          </w:p>
        </w:tc>
      </w:tr>
    </w:tbl>
    <w:p>
      <w:pPr>
        <w:pStyle w:val="P7"/>
      </w:pPr>
    </w:p>
    <w:p>
      <w:pPr>
        <w:pStyle w:val="P3"/>
      </w:pPr>
      <w:bookmarkStart w:id="16" w:name="_Toc443377198"/>
      <w:r>
        <w:t>Collations</w:t>
      </w:r>
      <w:bookmarkEnd w:id="16"/>
    </w:p>
    <w:tbl>
      <w:tblPr>
        <w:tblW w:w="0" w:type="auto"/>
        <w:tblCellSpacing w:w="15" w:type="dxa"/>
        <w:tblInd w:w="0" w:type="dxa"/>
        <w:tblBorders>
          <w:top w:val="nil" w:sz="0" w:space="0" w:shadow="0" w:frame="0" w:color="000000"/>
          <w:left w:val="nil" w:sz="0" w:space="0" w:shadow="0" w:frame="0" w:color="000000"/>
          <w:bottom w:val="nil" w:sz="0" w:space="0" w:shadow="0" w:frame="0" w:color="000000"/>
          <w:right w:val="nil" w:sz="0" w:space="0" w:shadow="0" w:frame="0" w:color="000000"/>
          <w:insideH w:val="none" w:sz="0" w:space="0" w:shadow="0" w:frame="0" w:color="auto"/>
          <w:insideV w:val="none" w:sz="0" w:space="0" w:shadow="0" w:frame="0" w:color="auto"/>
        </w:tblBorders>
        <w:tblLayout w:type="autofit"/>
        <w:tblCellMar>
          <w:top w:w="15" w:type="dxa"/>
          <w:left w:w="15" w:type="dxa"/>
          <w:bottom w:w="15" w:type="dxa"/>
          <w:right w:w="15" w:type="dxa"/>
        </w:tblCellMar>
      </w:tblPr>
      <w:tblGrid/>
      <w:tr>
        <w:tc>
          <w:tcPr>
            <w:tcW w:w="0" w:type="auto"/>
            <w:vAlign w:val="center"/>
            <w:hideMark/>
          </w:tcPr>
          <w:p>
            <w:pPr>
              <w:pStyle w:val="P7"/>
              <w:ind w:left="0" w:right="0"/>
            </w:pPr>
            <w:r>
              <w:rPr>
                <w:b w:val="1"/>
              </w:rPr>
              <w:t>Logical</w:t>
            </w:r>
          </w:p>
        </w:tc>
        <w:tc>
          <w:tcPr>
            <w:tcW w:w="0" w:type="auto"/>
            <w:vAlign w:val="center"/>
            <w:hideMark/>
          </w:tcPr>
          <w:p>
            <w:pPr>
              <w:pStyle w:val="P7"/>
              <w:ind w:left="0" w:right="0"/>
            </w:pPr>
            <w:r>
              <w:t>Logical collation. Strings '1', '2' .. '10', '20' are ordered according numeric values, not 1, 10, 2, 20. Case sensitive.</w:t>
            </w:r>
          </w:p>
        </w:tc>
      </w:tr>
      <w:tr>
        <w:tc>
          <w:tcPr>
            <w:tcW w:w="0" w:type="auto"/>
            <w:vAlign w:val="center"/>
            <w:hideMark/>
          </w:tcPr>
          <w:p>
            <w:pPr>
              <w:pStyle w:val="P7"/>
              <w:ind w:left="0" w:right="0"/>
            </w:pPr>
            <w:r>
              <w:rPr>
                <w:b w:val="1"/>
              </w:rPr>
              <w:t>LogicalCI</w:t>
            </w:r>
          </w:p>
        </w:tc>
        <w:tc>
          <w:tcPr>
            <w:tcW w:w="0" w:type="auto"/>
            <w:vAlign w:val="center"/>
            <w:hideMark/>
          </w:tcPr>
          <w:p>
            <w:pPr>
              <w:pStyle w:val="P7"/>
              <w:ind w:left="0" w:right="0"/>
            </w:pPr>
            <w:r>
              <w:t>Logical collation. Strings '1', '2' .. '10', '20' are ordered according numeric values, not 1, 10, 2, 20. Case insensitive.</w:t>
            </w:r>
          </w:p>
        </w:tc>
      </w:tr>
    </w:tbl>
    <w:p>
      <w:pPr>
        <w:pStyle w:val="P7"/>
      </w:pPr>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17" w:name="_Toc2023853468"/>
      <w:r>
        <w:t>SQL cmdlets</w:t>
      </w:r>
      <w:bookmarkEnd w:id="17"/>
    </w:p>
    <w:p>
      <w:pPr>
        <w:pStyle w:val="P7"/>
      </w:pPr>
      <w:r>
        <w:t xml:space="preserve">This section contains help for </w:t>
      </w:r>
      <w:r>
        <w:rPr>
          <w:i w:val="1"/>
        </w:rPr>
        <w:t>cmdlets</w:t>
      </w:r>
      <w:r>
        <w:t xml:space="preserve"> that allow to output data (not only results of executing </w:t>
      </w:r>
      <w:r>
        <w:rPr>
          <w:i w:val="1"/>
        </w:rPr>
        <w:t>SQL queries</w:t>
      </w:r>
      <w:r>
        <w:t xml:space="preserve">) into </w:t>
      </w:r>
      <w:r>
        <w:rPr>
          <w:b w:val="1"/>
        </w:rPr>
        <w:t>Data</w:t>
      </w:r>
      <w:r>
        <w:t xml:space="preserve"> tab.</w:t>
      </w:r>
    </w:p>
    <w:p>
      <w:pPr>
        <w:pStyle w:val="P3"/>
        <w:rPr>
          <w:i w:val="1"/>
        </w:rPr>
      </w:pPr>
      <w:bookmarkStart w:id="18" w:name="_Toc1364159623"/>
      <w:r>
        <w:t xml:space="preserve">Cmdlet </w:t>
      </w:r>
      <w:r>
        <w:rPr>
          <w:i w:val="1"/>
        </w:rPr>
        <w:t>Out-Data</w:t>
      </w:r>
      <w:bookmarkEnd w:id="18"/>
    </w:p>
    <w:p>
      <w:pPr>
        <w:pStyle w:val="P9"/>
      </w:pPr>
      <w:r>
        <w:br w:type="textWrapping"/>
      </w:r>
      <w:r>
        <w:rPr>
          <w:b w:val="1"/>
          <w:u w:val="single"/>
        </w:rPr>
        <w:t>NAME</w:t>
      </w:r>
      <w:r>
        <w:br w:type="textWrapping"/>
        <w:t>    Out-Data</w:t>
        <w:br w:type="textWrapping"/>
        <w:t>    </w:t>
        <w:br w:type="textWrapping"/>
      </w:r>
      <w:r>
        <w:rPr>
          <w:b w:val="1"/>
          <w:u w:val="single"/>
        </w:rPr>
        <w:t>SYNTAX</w:t>
      </w:r>
      <w:r>
        <w:br w:type="textWrapping"/>
        <w:t>    Out-Data [[-DataRecord] &lt;psobject&gt;] [-DataSource &lt;Object&gt;] [-TableName &lt;string&gt;] [-SelectColumns &lt;string[]&gt;] [-SkipColumns &lt;string[]&gt;] [-IgnoreErrors] [-Formatting &lt;string&gt;] [-Replace] [-RelationName &lt;string&gt;] [-ParentTable &lt;string&gt;] [-ParentColumns &lt;string[]&gt;] [-ChildColumns &lt;string[]&gt;] [-PassThru] [-ResetDataSet] [&lt;CommonParameters&gt;]</w:t>
        <w:br w:type="textWrapping"/>
        <w:t>    </w:t>
        <w:br w:type="textWrapping"/>
        <w:t>    </w:t>
        <w:br w:type="textWrapping"/>
      </w:r>
      <w:r>
        <w:rPr>
          <w:b w:val="1"/>
          <w:u w:val="single"/>
        </w:rPr>
        <w:t>PARAMETERS</w:t>
      </w:r>
      <w:r>
        <w:br w:type="textWrapping"/>
      </w:r>
      <w:r>
        <w:rPr>
          <w:b w:val="1"/>
        </w:rPr>
        <w:t>-ChildColumns &lt;string[]&gt;</w:t>
      </w:r>
      <w:r>
        <w:br w:type="textWrapping"/>
        <w:t>        Create master-detail relationship. List of column names for relation. If not set - ParentColumns are using.</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-ParentColumns &lt;string[]&gt;</w:t>
      </w:r>
      <w:r>
        <w:br w:type="textWrapping"/>
        <w:t>        Create master-detail relationship. Comma-separated list of parent columns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-ParentTable &lt;string&gt;</w:t>
      </w:r>
      <w:r>
        <w:br w:type="textWrapping"/>
        <w:t>        Master table for master-detail relationship</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-RelationName &lt;string&gt;</w:t>
      </w:r>
      <w:r>
        <w:br w:type="textWrapping"/>
        <w:t>        Name of master-detail relation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table if it exists.</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-ResetDataSet</w:t>
      </w:r>
      <w:r>
        <w:br w:type="textWrapping"/>
        <w:t>        When set - current tables, relations etc. will be removed from the DataSet.</w:t>
        <w:br w:type="textWrapping"/>
        <w:t>        </w:t>
        <w:br w:type="textWrapping"/>
        <w:t>        Required?                    false</w:t>
        <w:br w:type="textWrapping"/>
        <w:t>        Position?                    Named</w:t>
        <w:br w:type="textWrapping"/>
        <w:t>        Accept pipeline input?       false</w:t>
        <w:br w:type="textWrapping"/>
        <w:t>        Parameter set name           (All)</w:t>
        <w:br w:type="textWrapping"/>
        <w:t>        Aliases                      reset</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-TableName &lt;string&gt;</w:t>
      </w:r>
      <w:r>
        <w:br w:type="textWrapping"/>
        <w:t>        Table name</w:t>
        <w:br w:type="textWrapping"/>
        <w:t>        </w:t>
        <w:br w:type="textWrapping"/>
        <w:t>        Required?                    false</w:t>
        <w:br w:type="textWrapping"/>
        <w:t>        Position?                    Named</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19" w:name="_Toc1558858536"/>
      <w:r>
        <w:t xml:space="preserve">Cmdlet </w:t>
      </w:r>
      <w:r>
        <w:rPr>
          <w:i w:val="1"/>
        </w:rPr>
        <w:t>Out-DataSet</w:t>
      </w:r>
      <w:bookmarkEnd w:id="19"/>
    </w:p>
    <w:p>
      <w:pPr>
        <w:pStyle w:val="P9"/>
      </w:pPr>
      <w:r>
        <w:br w:type="textWrapping"/>
      </w:r>
      <w:r>
        <w:rPr>
          <w:b w:val="1"/>
          <w:u w:val="single"/>
        </w:rPr>
        <w:t>NAME</w:t>
      </w:r>
      <w:r>
        <w:br w:type="textWrapping"/>
        <w:t>    Out-DataSet</w:t>
        <w:br w:type="textWrapping"/>
        <w:t>    </w:t>
        <w:br w:type="textWrapping"/>
      </w:r>
      <w:r>
        <w:rPr>
          <w:b w:val="1"/>
          <w:u w:val="single"/>
        </w:rPr>
        <w:t>SYNTAX</w:t>
      </w:r>
      <w:r>
        <w:br w:type="textWrapping"/>
        <w:t>    Out-DataSet [[-DataSource] &lt;DataSet&gt;] [-Replace] [-Formatting &lt;string&gt;] [-ResetDataSet] [-NoCopyTables] [-PassThru] [&lt;CommonParameters&gt;]</w:t>
        <w:br w:type="textWrapping"/>
        <w:t>    </w:t>
        <w:br w:type="textWrapping"/>
        <w:t>    </w:t>
        <w:br w:type="textWrapping"/>
      </w:r>
      <w:r>
        <w:rPr>
          <w:b w:val="1"/>
          <w:u w:val="single"/>
        </w:rPr>
        <w:t>PARAMETERS</w:t>
      </w:r>
      <w:r>
        <w:br w:type="textWrapping"/>
      </w:r>
      <w:r>
        <w:rPr>
          <w:b w:val="1"/>
        </w:rPr>
        <w:t>-DataSource &lt;DataSet&gt;</w:t>
      </w:r>
      <w:r>
        <w:br w:type="textWrapping"/>
        <w:t>        ADO.Net DataSet for Data tab.</w:t>
        <w:br w:type="textWrapping"/>
        <w:t>        </w:t>
        <w:br w:type="textWrapping"/>
        <w:t>        Required?                    false</w:t>
        <w:br w:type="textWrapping"/>
        <w:t>        Position?                    0</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-Formatting &lt;string&gt;</w:t>
      </w:r>
      <w:r>
        <w:br w:type="textWrapping"/>
        <w:t>        Format conditions for spreadsheet table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-NoCopyTables</w:t>
      </w:r>
      <w:r>
        <w:br w:type="textWrapping"/>
        <w:t>        When set - tables are removed from DataSource. This is more efficient but DataSource cannot be used later.</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-PassThru</w:t>
      </w:r>
      <w:r>
        <w:br w:type="textWrapping"/>
        <w:t>        Returns an object representing the item with which you are working. By default, this cmdlet does not generate any output.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-Replace</w:t>
      </w:r>
      <w:r>
        <w:br w:type="textWrapping"/>
        <w:t>        Replace existing tables if they exist.</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-ResetDataSet</w:t>
      </w:r>
      <w:r>
        <w:br w:type="textWrapping"/>
        <w:t>        When set - current tables, relations etc. will be removed from the DataSet.</w:t>
        <w:br w:type="textWrapping"/>
        <w:t>        </w:t>
        <w:br w:type="textWrapping"/>
        <w:t>        Required?                    false</w:t>
        <w:br w:type="textWrapping"/>
        <w:t>        Position?                    Named</w:t>
        <w:br w:type="textWrapping"/>
        <w:t>        Accept pipeline input?       false</w:t>
        <w:br w:type="textWrapping"/>
        <w:t>        Parameter set name           (All)</w:t>
        <w:br w:type="textWrapping"/>
        <w:t>        Aliases                      reset</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System.Data.DataSet</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0" w:name="_Toc554883733"/>
      <w:r>
        <w:t xml:space="preserve">Cmdlet </w:t>
      </w:r>
      <w:r>
        <w:rPr>
          <w:i w:val="1"/>
        </w:rPr>
        <w:t>Remove-DataTable</w:t>
      </w:r>
      <w:bookmarkEnd w:id="20"/>
    </w:p>
    <w:p>
      <w:pPr>
        <w:pStyle w:val="P9"/>
      </w:pPr>
      <w:r>
        <w:br w:type="textWrapping"/>
      </w:r>
      <w:r>
        <w:rPr>
          <w:b w:val="1"/>
          <w:u w:val="single"/>
        </w:rPr>
        <w:t>NAME</w:t>
      </w:r>
      <w:r>
        <w:br w:type="textWrapping"/>
        <w:t>    Remove-DataTable</w:t>
        <w:br w:type="textWrapping"/>
        <w:t>    </w:t>
        <w:br w:type="textWrapping"/>
      </w:r>
      <w:r>
        <w:rPr>
          <w:b w:val="1"/>
          <w:u w:val="single"/>
        </w:rPr>
        <w:t>SYNTAX</w:t>
      </w:r>
      <w:r>
        <w:br w:type="textWrapping"/>
        <w:t>    Remove-DataTable [-TableName] &lt;string&gt; [&lt;CommonParameters&gt;]</w:t>
        <w:br w:type="textWrapping"/>
        <w:t>    </w:t>
        <w:br w:type="textWrapping"/>
        <w:t>    </w:t>
        <w:br w:type="textWrapping"/>
      </w:r>
      <w:r>
        <w:rPr>
          <w:b w:val="1"/>
          <w:u w:val="single"/>
        </w:rPr>
        <w:t>PARAMETERS</w:t>
      </w:r>
      <w:r>
        <w:br w:type="textWrapping"/>
      </w:r>
      <w:r>
        <w:rPr>
          <w:b w:val="1"/>
        </w:rPr>
        <w:t>-TableName &lt;string&gt;</w:t>
      </w:r>
      <w:r>
        <w:br w:type="textWrapping"/>
        <w:t>        Table name</w:t>
        <w:br w:type="textWrapping"/>
        <w:t>        </w:t>
        <w:br w:type="textWrapping"/>
        <w:t>        Required?                    true</w:t>
        <w:br w:type="textWrapping"/>
        <w:t>        Position?                    0</w:t>
        <w:br w:type="textWrapping"/>
        <w:t>        Accept pipeline input?       false</w:t>
        <w:br w:type="textWrapping"/>
        <w:t>        Parameter set name           (All)</w:t>
        <w:br w:type="textWrapping"/>
        <w:t>        Aliases                      Table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21" w:name="_Toc521159773"/>
      <w:r>
        <w:t xml:space="preserve">Cmdlet </w:t>
      </w:r>
      <w:r>
        <w:rPr>
          <w:i w:val="1"/>
        </w:rPr>
        <w:t>Clear-Data</w:t>
      </w:r>
      <w:bookmarkEnd w:id="21"/>
    </w:p>
    <w:p>
      <w:pPr>
        <w:pStyle w:val="P9"/>
      </w:pPr>
      <w:r>
        <w:br w:type="textWrapping"/>
      </w:r>
      <w:r>
        <w:rPr>
          <w:b w:val="1"/>
          <w:u w:val="single"/>
        </w:rPr>
        <w:t>NAME</w:t>
      </w:r>
      <w:r>
        <w:br w:type="textWrapping"/>
        <w:t>    Clear-Data</w:t>
        <w:br w:type="textWrapping"/>
        <w:t>    </w:t>
        <w:br w:type="textWrapping"/>
      </w:r>
      <w:r>
        <w:rPr>
          <w:b w:val="1"/>
          <w:u w:val="single"/>
        </w:rPr>
        <w:t>SYNTAX</w:t>
      </w:r>
      <w:r>
        <w:br w:type="textWrapping"/>
        <w:t>    Clear-Data [&lt;CommonParameters&gt;]</w:t>
        <w:br w:type="textWrapping"/>
        <w:t>    </w:t>
        <w:br w:type="textWrapping"/>
        <w:t>    </w:t>
        <w:br w:type="textWrapping"/>
      </w:r>
      <w:r>
        <w:rPr>
          <w:b w:val="1"/>
          <w:u w:val="single"/>
        </w:rPr>
        <w:t>PARAMETERS</w:t>
      </w:r>
      <w:r>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System.Object</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22" w:name="_Toc1575443559"/>
      <w:r>
        <w:t>Table of Contents</w:t>
      </w:r>
      <w:bookmarkEnd w:id="22"/>
    </w:p>
    <w:p>
      <w:pPr>
        <w:pStyle w:val="P10"/>
        <w:tabs>
          <w:tab w:val="right" w:pos="9690" w:leader="dot"/>
        </w:tabs>
      </w:pPr>
      <w:r>
        <w:fldChar w:fldCharType="begin"/>
      </w:r>
      <w:r>
        <w:instrText>TOC</w:instrText>
      </w:r>
      <w:r>
        <w:fldChar w:fldCharType="separate"/>
      </w:r>
      <w:r>
        <w:t>SQL</w:t>
        <w:tab/>
      </w:r>
      <w:r>
        <w:fldChar w:fldCharType="begin"/>
      </w:r>
      <w:r>
        <w:instrText>PAGEREF _Toc607289834</w:instrText>
      </w:r>
      <w:r>
        <w:fldChar w:fldCharType="separate"/>
      </w:r>
      <w:r>
        <w:t>1</w:t>
      </w:r>
      <w:r>
        <w:fldChar w:fldCharType="end"/>
      </w:r>
    </w:p>
    <w:p>
      <w:pPr>
        <w:pStyle w:val="P11"/>
        <w:tabs>
          <w:tab w:val="right" w:pos="9690" w:leader="dot"/>
        </w:tabs>
      </w:pPr>
      <w:r>
        <w:t>Extended SQL syntax</w:t>
        <w:tab/>
      </w:r>
      <w:r>
        <w:fldChar w:fldCharType="begin"/>
      </w:r>
      <w:r>
        <w:instrText>PAGEREF _Toc2020708896</w:instrText>
      </w:r>
      <w:r>
        <w:fldChar w:fldCharType="separate"/>
      </w:r>
      <w:r>
        <w:t>2</w:t>
      </w:r>
      <w:r>
        <w:fldChar w:fldCharType="end"/>
      </w:r>
    </w:p>
    <w:p>
      <w:pPr>
        <w:pStyle w:val="P12"/>
        <w:tabs>
          <w:tab w:val="right" w:pos="9690" w:leader="dot"/>
        </w:tabs>
      </w:pPr>
      <w:r>
        <w:t>Command TABLE</w:t>
        <w:tab/>
      </w:r>
      <w:r>
        <w:fldChar w:fldCharType="begin"/>
      </w:r>
      <w:r>
        <w:instrText>PAGEREF _Toc576473370</w:instrText>
      </w:r>
      <w:r>
        <w:fldChar w:fldCharType="separate"/>
      </w:r>
      <w:r>
        <w:t>2</w:t>
      </w:r>
      <w:r>
        <w:fldChar w:fldCharType="end"/>
      </w:r>
    </w:p>
    <w:p>
      <w:pPr>
        <w:pStyle w:val="P12"/>
        <w:tabs>
          <w:tab w:val="right" w:pos="9690" w:leader="dot"/>
        </w:tabs>
      </w:pPr>
      <w:r>
        <w:t>Command FORMAT CONDITION</w:t>
        <w:tab/>
      </w:r>
      <w:r>
        <w:fldChar w:fldCharType="begin"/>
      </w:r>
      <w:r>
        <w:instrText>PAGEREF _Toc2059071057</w:instrText>
      </w:r>
      <w:r>
        <w:fldChar w:fldCharType="separate"/>
      </w:r>
      <w:r>
        <w:t>2</w:t>
      </w:r>
      <w:r>
        <w:fldChar w:fldCharType="end"/>
      </w:r>
    </w:p>
    <w:p>
      <w:pPr>
        <w:pStyle w:val="P12"/>
        <w:tabs>
          <w:tab w:val="right" w:pos="9690" w:leader="dot"/>
        </w:tabs>
      </w:pPr>
      <w:r>
        <w:t>Command COMPUTED COLUMN</w:t>
        <w:tab/>
      </w:r>
      <w:r>
        <w:fldChar w:fldCharType="begin"/>
      </w:r>
      <w:r>
        <w:instrText>PAGEREF _Toc804006103</w:instrText>
      </w:r>
      <w:r>
        <w:fldChar w:fldCharType="separate"/>
      </w:r>
      <w:r>
        <w:t>4</w:t>
      </w:r>
      <w:r>
        <w:fldChar w:fldCharType="end"/>
      </w:r>
    </w:p>
    <w:p>
      <w:pPr>
        <w:pStyle w:val="P12"/>
        <w:tabs>
          <w:tab w:val="right" w:pos="9690" w:leader="dot"/>
        </w:tabs>
      </w:pPr>
      <w:r>
        <w:t>Command RELATION</w:t>
        <w:tab/>
      </w:r>
      <w:r>
        <w:fldChar w:fldCharType="begin"/>
      </w:r>
      <w:r>
        <w:instrText>PAGEREF _Toc2050921871</w:instrText>
      </w:r>
      <w:r>
        <w:fldChar w:fldCharType="separate"/>
      </w:r>
      <w:r>
        <w:t>4</w:t>
      </w:r>
      <w:r>
        <w:fldChar w:fldCharType="end"/>
      </w:r>
    </w:p>
    <w:p>
      <w:pPr>
        <w:pStyle w:val="P12"/>
        <w:tabs>
          <w:tab w:val="right" w:pos="9690" w:leader="dot"/>
        </w:tabs>
      </w:pPr>
      <w:r>
        <w:t>Command CONNECTION</w:t>
        <w:tab/>
      </w:r>
      <w:r>
        <w:fldChar w:fldCharType="begin"/>
      </w:r>
      <w:r>
        <w:instrText>PAGEREF _Toc1524897500</w:instrText>
      </w:r>
      <w:r>
        <w:fldChar w:fldCharType="separate"/>
      </w:r>
      <w:r>
        <w:t>4</w:t>
      </w:r>
      <w:r>
        <w:fldChar w:fldCharType="end"/>
      </w:r>
    </w:p>
    <w:p>
      <w:pPr>
        <w:pStyle w:val="P11"/>
        <w:tabs>
          <w:tab w:val="right" w:pos="9690" w:leader="dot"/>
        </w:tabs>
      </w:pPr>
      <w:r>
        <w:t>Extended SQLite functions</w:t>
        <w:tab/>
      </w:r>
      <w:r>
        <w:fldChar w:fldCharType="begin"/>
      </w:r>
      <w:r>
        <w:instrText>PAGEREF _Toc431697639</w:instrText>
      </w:r>
      <w:r>
        <w:fldChar w:fldCharType="separate"/>
      </w:r>
      <w:r>
        <w:t>6</w:t>
      </w:r>
      <w:r>
        <w:fldChar w:fldCharType="end"/>
      </w:r>
    </w:p>
    <w:p>
      <w:pPr>
        <w:pStyle w:val="P12"/>
        <w:tabs>
          <w:tab w:val="right" w:pos="9690" w:leader="dot"/>
        </w:tabs>
      </w:pPr>
      <w:r>
        <w:t>Scalar functions</w:t>
        <w:tab/>
      </w:r>
      <w:r>
        <w:fldChar w:fldCharType="begin"/>
      </w:r>
      <w:r>
        <w:instrText>PAGEREF _Toc223153086</w:instrText>
      </w:r>
      <w:r>
        <w:fldChar w:fldCharType="separate"/>
      </w:r>
      <w:r>
        <w:t>6</w:t>
      </w:r>
      <w:r>
        <w:fldChar w:fldCharType="end"/>
      </w:r>
    </w:p>
    <w:p>
      <w:pPr>
        <w:pStyle w:val="P13"/>
        <w:tabs>
          <w:tab w:val="right" w:pos="9690" w:leader="dot"/>
        </w:tabs>
      </w:pPr>
      <w:r>
        <w:t>Hash</w:t>
        <w:tab/>
      </w:r>
      <w:r>
        <w:fldChar w:fldCharType="begin"/>
      </w:r>
      <w:r>
        <w:instrText>PAGEREF _Toc774416005</w:instrText>
      </w:r>
      <w:r>
        <w:fldChar w:fldCharType="separate"/>
      </w:r>
      <w:r>
        <w:t>6</w:t>
      </w:r>
      <w:r>
        <w:fldChar w:fldCharType="end"/>
      </w:r>
    </w:p>
    <w:p>
      <w:pPr>
        <w:pStyle w:val="P13"/>
        <w:tabs>
          <w:tab w:val="right" w:pos="9690" w:leader="dot"/>
        </w:tabs>
      </w:pPr>
      <w:r>
        <w:t>Math</w:t>
        <w:tab/>
      </w:r>
      <w:r>
        <w:fldChar w:fldCharType="begin"/>
      </w:r>
      <w:r>
        <w:instrText>PAGEREF _Toc1921890598</w:instrText>
      </w:r>
      <w:r>
        <w:fldChar w:fldCharType="separate"/>
      </w:r>
      <w:r>
        <w:t>6</w:t>
      </w:r>
      <w:r>
        <w:fldChar w:fldCharType="end"/>
      </w:r>
    </w:p>
    <w:p>
      <w:pPr>
        <w:pStyle w:val="P13"/>
        <w:tabs>
          <w:tab w:val="right" w:pos="9690" w:leader="dot"/>
        </w:tabs>
      </w:pPr>
      <w:r>
        <w:t>Path</w:t>
        <w:tab/>
      </w:r>
      <w:r>
        <w:fldChar w:fldCharType="begin"/>
      </w:r>
      <w:r>
        <w:instrText>PAGEREF _Toc1465885417</w:instrText>
      </w:r>
      <w:r>
        <w:fldChar w:fldCharType="separate"/>
      </w:r>
      <w:r>
        <w:t>7</w:t>
      </w:r>
      <w:r>
        <w:fldChar w:fldCharType="end"/>
      </w:r>
    </w:p>
    <w:p>
      <w:pPr>
        <w:pStyle w:val="P13"/>
        <w:tabs>
          <w:tab w:val="right" w:pos="9690" w:leader="dot"/>
        </w:tabs>
      </w:pPr>
      <w:r>
        <w:t>Random</w:t>
        <w:tab/>
      </w:r>
      <w:r>
        <w:fldChar w:fldCharType="begin"/>
      </w:r>
      <w:r>
        <w:instrText>PAGEREF _Toc1016634943</w:instrText>
      </w:r>
      <w:r>
        <w:fldChar w:fldCharType="separate"/>
      </w:r>
      <w:r>
        <w:t>7</w:t>
      </w:r>
      <w:r>
        <w:fldChar w:fldCharType="end"/>
      </w:r>
    </w:p>
    <w:p>
      <w:pPr>
        <w:pStyle w:val="P13"/>
        <w:tabs>
          <w:tab w:val="right" w:pos="9690" w:leader="dot"/>
        </w:tabs>
      </w:pPr>
      <w:r>
        <w:t>Regular Expressions</w:t>
        <w:tab/>
      </w:r>
      <w:r>
        <w:fldChar w:fldCharType="begin"/>
      </w:r>
      <w:r>
        <w:instrText>PAGEREF _Toc1270128251</w:instrText>
      </w:r>
      <w:r>
        <w:fldChar w:fldCharType="separate"/>
      </w:r>
      <w:r>
        <w:t>7</w:t>
      </w:r>
      <w:r>
        <w:fldChar w:fldCharType="end"/>
      </w:r>
    </w:p>
    <w:p>
      <w:pPr>
        <w:pStyle w:val="P13"/>
        <w:tabs>
          <w:tab w:val="right" w:pos="9690" w:leader="dot"/>
        </w:tabs>
      </w:pPr>
      <w:r>
        <w:t>String</w:t>
        <w:tab/>
      </w:r>
      <w:r>
        <w:fldChar w:fldCharType="begin"/>
      </w:r>
      <w:r>
        <w:instrText>PAGEREF _Toc44989621</w:instrText>
      </w:r>
      <w:r>
        <w:fldChar w:fldCharType="separate"/>
      </w:r>
      <w:r>
        <w:t>8</w:t>
      </w:r>
      <w:r>
        <w:fldChar w:fldCharType="end"/>
      </w:r>
    </w:p>
    <w:p>
      <w:pPr>
        <w:pStyle w:val="P12"/>
        <w:tabs>
          <w:tab w:val="right" w:pos="9690" w:leader="dot"/>
        </w:tabs>
      </w:pPr>
      <w:r>
        <w:t>Aggreagate functions</w:t>
        <w:tab/>
      </w:r>
      <w:r>
        <w:fldChar w:fldCharType="begin"/>
      </w:r>
      <w:r>
        <w:instrText>PAGEREF _Toc1263373544</w:instrText>
      </w:r>
      <w:r>
        <w:fldChar w:fldCharType="separate"/>
      </w:r>
      <w:r>
        <w:t>8</w:t>
      </w:r>
      <w:r>
        <w:fldChar w:fldCharType="end"/>
      </w:r>
    </w:p>
    <w:p>
      <w:pPr>
        <w:pStyle w:val="P12"/>
        <w:tabs>
          <w:tab w:val="right" w:pos="9690" w:leader="dot"/>
        </w:tabs>
      </w:pPr>
      <w:r>
        <w:t>Collations</w:t>
        <w:tab/>
      </w:r>
      <w:r>
        <w:fldChar w:fldCharType="begin"/>
      </w:r>
      <w:r>
        <w:instrText>PAGEREF _Toc443377198</w:instrText>
      </w:r>
      <w:r>
        <w:fldChar w:fldCharType="separate"/>
      </w:r>
      <w:r>
        <w:t>9</w:t>
      </w:r>
      <w:r>
        <w:fldChar w:fldCharType="end"/>
      </w:r>
    </w:p>
    <w:p>
      <w:pPr>
        <w:pStyle w:val="P11"/>
        <w:tabs>
          <w:tab w:val="right" w:pos="9690" w:leader="dot"/>
        </w:tabs>
      </w:pPr>
      <w:r>
        <w:t>SQL cmdlets</w:t>
        <w:tab/>
      </w:r>
      <w:r>
        <w:fldChar w:fldCharType="begin"/>
      </w:r>
      <w:r>
        <w:instrText>PAGEREF _Toc2023853468</w:instrText>
      </w:r>
      <w:r>
        <w:fldChar w:fldCharType="separate"/>
      </w:r>
      <w:r>
        <w:t>10</w:t>
      </w:r>
      <w:r>
        <w:fldChar w:fldCharType="end"/>
      </w:r>
    </w:p>
    <w:p>
      <w:pPr>
        <w:pStyle w:val="P12"/>
        <w:tabs>
          <w:tab w:val="right" w:pos="9690" w:leader="dot"/>
        </w:tabs>
      </w:pPr>
      <w:r>
        <w:t>Cmdlet Out-Data</w:t>
        <w:tab/>
      </w:r>
      <w:r>
        <w:fldChar w:fldCharType="begin"/>
      </w:r>
      <w:r>
        <w:instrText>PAGEREF _Toc1364159623</w:instrText>
      </w:r>
      <w:r>
        <w:fldChar w:fldCharType="separate"/>
      </w:r>
      <w:r>
        <w:t>10</w:t>
      </w:r>
      <w:r>
        <w:fldChar w:fldCharType="end"/>
      </w:r>
    </w:p>
    <w:p>
      <w:pPr>
        <w:pStyle w:val="P12"/>
        <w:tabs>
          <w:tab w:val="right" w:pos="9690" w:leader="dot"/>
        </w:tabs>
      </w:pPr>
      <w:r>
        <w:t>Cmdlet Out-DataSet</w:t>
        <w:tab/>
      </w:r>
      <w:r>
        <w:fldChar w:fldCharType="begin"/>
      </w:r>
      <w:r>
        <w:instrText>PAGEREF _Toc1558858536</w:instrText>
      </w:r>
      <w:r>
        <w:fldChar w:fldCharType="separate"/>
      </w:r>
      <w:r>
        <w:t>14</w:t>
      </w:r>
      <w:r>
        <w:fldChar w:fldCharType="end"/>
      </w:r>
    </w:p>
    <w:p>
      <w:pPr>
        <w:pStyle w:val="P12"/>
        <w:tabs>
          <w:tab w:val="right" w:pos="9690" w:leader="dot"/>
        </w:tabs>
      </w:pPr>
      <w:r>
        <w:t>Cmdlet Remove-DataTable</w:t>
        <w:tab/>
      </w:r>
      <w:r>
        <w:fldChar w:fldCharType="begin"/>
      </w:r>
      <w:r>
        <w:instrText>PAGEREF _Toc554883733</w:instrText>
      </w:r>
      <w:r>
        <w:fldChar w:fldCharType="separate"/>
      </w:r>
      <w:r>
        <w:t>16</w:t>
      </w:r>
      <w:r>
        <w:fldChar w:fldCharType="end"/>
      </w:r>
    </w:p>
    <w:p>
      <w:pPr>
        <w:pStyle w:val="P12"/>
        <w:tabs>
          <w:tab w:val="right" w:pos="9690" w:leader="dot"/>
        </w:tabs>
      </w:pPr>
      <w:r>
        <w:t>Cmdlet Clear-Data</w:t>
        <w:tab/>
      </w:r>
      <w:r>
        <w:fldChar w:fldCharType="begin"/>
      </w:r>
      <w:r>
        <w:instrText>PAGEREF _Toc521159773</w:instrText>
      </w:r>
      <w:r>
        <w:fldChar w:fldCharType="separate"/>
      </w:r>
      <w:r>
        <w:t>17</w:t>
      </w:r>
      <w:r>
        <w:fldChar w:fldCharType="end"/>
      </w:r>
    </w:p>
    <w:p>
      <w:pPr>
        <w:pStyle w:val="P11"/>
        <w:tabs>
          <w:tab w:val="right" w:pos="9690" w:leader="dot"/>
        </w:tabs>
      </w:pPr>
      <w:r>
        <w:t>Table of Contents</w:t>
        <w:tab/>
      </w:r>
      <w:r>
        <w:fldChar w:fldCharType="begin"/>
      </w:r>
      <w:r>
        <w:instrText>PAGEREF _Toc1575443559</w:instrText>
      </w:r>
      <w:r>
        <w:fldChar w:fldCharType="separate"/>
      </w:r>
      <w:r>
        <w:t>18</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SQL</w:t>
    </w:r>
  </w:p>
</w:hdr>
</file>

<file path=word/numbering.xml><?xml version="1.0" encoding="utf-8"?>
<w:numbering xmlns:w="http://schemas.openxmlformats.org/wordprocessingml/2006/main">
  <w:abstractNum w:abstractNumId="0">
    <w:nsid w:val="5B5FF36D"/>
    <w:multiLevelType w:val="hybridMultilevel"/>
    <w:lvl w:ilvl="0" w:tplc="26403F57">
      <w:start w:val="1"/>
      <w:numFmt w:val="bullet"/>
      <w:suff w:val="tab"/>
      <w:lvlText w:val="·"/>
      <w:lvlJc w:val="left"/>
      <w:pPr>
        <w:ind w:hanging="360" w:left="720"/>
      </w:pPr>
      <w:rPr>
        <w:rFonts w:ascii="Symbol" w:hAnsi="Symbol" w:cs="Symbol" w:eastAsia="Symbol"/>
      </w:rPr>
    </w:lvl>
    <w:lvl w:ilvl="1" w:tplc="463F1D0E">
      <w:start w:val="1"/>
      <w:numFmt w:val="bullet"/>
      <w:suff w:val="tab"/>
      <w:lvlText w:val="o"/>
      <w:lvlJc w:val="left"/>
      <w:pPr>
        <w:ind w:hanging="360" w:left="1440"/>
      </w:pPr>
      <w:rPr>
        <w:rFonts w:ascii="Symbol" w:hAnsi="Symbol"/>
      </w:rPr>
    </w:lvl>
    <w:lvl w:ilvl="2" w:tplc="67BE1FC5">
      <w:start w:val="1"/>
      <w:numFmt w:val="bullet"/>
      <w:suff w:val="tab"/>
      <w:lvlText w:val="·"/>
      <w:lvlJc w:val="left"/>
      <w:pPr>
        <w:ind w:hanging="360" w:left="2160"/>
      </w:pPr>
      <w:rPr>
        <w:rFonts w:ascii="Symbol" w:hAnsi="Symbol"/>
      </w:rPr>
    </w:lvl>
    <w:lvl w:ilvl="3" w:tplc="398FAFB4">
      <w:start w:val="1"/>
      <w:numFmt w:val="bullet"/>
      <w:suff w:val="tab"/>
      <w:lvlText w:val="o"/>
      <w:lvlJc w:val="left"/>
      <w:pPr>
        <w:ind w:hanging="360" w:left="2880"/>
      </w:pPr>
      <w:rPr>
        <w:rFonts w:ascii="Symbol" w:hAnsi="Symbol"/>
      </w:rPr>
    </w:lvl>
    <w:lvl w:ilvl="4" w:tplc="2A24377F">
      <w:start w:val="1"/>
      <w:numFmt w:val="bullet"/>
      <w:suff w:val="tab"/>
      <w:lvlText w:val="·"/>
      <w:lvlJc w:val="left"/>
      <w:pPr>
        <w:ind w:hanging="360" w:left="3600"/>
      </w:pPr>
      <w:rPr>
        <w:rFonts w:ascii="Symbol" w:hAnsi="Symbol"/>
      </w:rPr>
    </w:lvl>
    <w:lvl w:ilvl="5" w:tplc="34ED1629">
      <w:start w:val="1"/>
      <w:numFmt w:val="bullet"/>
      <w:suff w:val="tab"/>
      <w:lvlText w:val="o"/>
      <w:lvlJc w:val="left"/>
      <w:pPr>
        <w:ind w:hanging="360" w:left="4320"/>
      </w:pPr>
      <w:rPr>
        <w:rFonts w:ascii="Symbol" w:hAnsi="Symbol"/>
      </w:rPr>
    </w:lvl>
    <w:lvl w:ilvl="6" w:tplc="2B6A54A0">
      <w:start w:val="1"/>
      <w:numFmt w:val="bullet"/>
      <w:suff w:val="tab"/>
      <w:lvlText w:val="·"/>
      <w:lvlJc w:val="left"/>
      <w:pPr>
        <w:ind w:hanging="360" w:left="5040"/>
      </w:pPr>
      <w:rPr>
        <w:rFonts w:ascii="Symbol" w:hAnsi="Symbol"/>
      </w:rPr>
    </w:lvl>
    <w:lvl w:ilvl="7" w:tplc="40D254EE">
      <w:start w:val="1"/>
      <w:numFmt w:val="bullet"/>
      <w:suff w:val="tab"/>
      <w:lvlText w:val="o"/>
      <w:lvlJc w:val="left"/>
      <w:pPr>
        <w:ind w:hanging="360" w:left="5760"/>
      </w:pPr>
      <w:rPr>
        <w:rFonts w:ascii="Symbol" w:hAnsi="Symbol"/>
      </w:rPr>
    </w:lvl>
    <w:lvl w:ilvl="8" w:tplc="2ADB7F48">
      <w:start w:val="1"/>
      <w:numFmt w:val="bullet"/>
      <w:suff w:val="tab"/>
      <w:lvlText w:val="·"/>
      <w:lvlJc w:val="left"/>
      <w:pPr>
        <w:ind w:hanging="360" w:left="6480"/>
      </w:pPr>
      <w:rPr>
        <w:rFonts w:ascii="Symbol" w:hAnsi="Symbol"/>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i UI" w:hAnsi="Segoi UI"/>
      <w:b w:val="1"/>
      <w:sz w:val="48"/>
    </w:rPr>
  </w:style>
  <w:style w:type="paragraph" w:styleId="P2">
    <w:name w:val="Header2"/>
    <w:pPr>
      <w:spacing w:before="384" w:after="384"/>
      <w:jc w:val="center"/>
      <w:outlineLvl w:val="1"/>
    </w:pPr>
    <w:rPr>
      <w:rFonts w:ascii="Segoi UI" w:hAnsi="Segoi UI"/>
      <w:b w:val="1"/>
      <w:sz w:val="36"/>
    </w:rPr>
  </w:style>
  <w:style w:type="paragraph" w:styleId="P3">
    <w:name w:val="Header3"/>
    <w:pPr>
      <w:spacing w:before="288" w:after="288"/>
      <w:jc w:val="center"/>
      <w:outlineLvl w:val="2"/>
    </w:pPr>
    <w:rPr>
      <w:rFonts w:ascii="Segoi UI" w:hAnsi="Segoi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paragraph" w:styleId="P13">
    <w:name w:val="TOC 4"/>
    <w:basedOn w:val="P0"/>
    <w:pPr>
      <w:spacing w:after="100"/>
      <w:ind w:left="663"/>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2020-11-17T11:51:10Z</dcterms:created>
  <cp:revision>1</cp:revision>
</cp:coreProperties>
</file>