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CC29965">
      <w:pPr>
        <w:rPr>
          <w:rFonts w:hint="eastAsia"/>
          <w:b/>
          <w:bCs/>
          <w:sz w:val="32"/>
          <w:szCs w:val="32"/>
          <w:lang w:val="en-US" w:eastAsia="zh-CN"/>
        </w:rPr>
      </w:pPr>
      <w:r>
        <w:rPr>
          <w:rFonts w:hint="eastAsia"/>
          <w:b/>
          <w:bCs/>
          <w:sz w:val="32"/>
          <w:szCs w:val="32"/>
          <w:lang w:val="en-US" w:eastAsia="zh-CN"/>
        </w:rPr>
        <w:t>一：监测位点</w:t>
      </w:r>
    </w:p>
    <w:p w14:paraId="07B51388">
      <w:pPr>
        <w:ind w:firstLine="240" w:firstLineChars="100"/>
        <w:rPr>
          <w:rFonts w:hint="default"/>
          <w:b/>
          <w:bCs/>
          <w:sz w:val="32"/>
          <w:szCs w:val="32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江河渠道采样点</w:t>
      </w:r>
    </w:p>
    <w:p w14:paraId="2BD26686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水面宽度（b）</w:t>
      </w:r>
    </w:p>
    <w:p w14:paraId="374974BA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b&lt;50m，      一条（中泓线）</w:t>
      </w:r>
    </w:p>
    <w:p w14:paraId="5BFEE93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50m&lt;b</w:t>
      </w:r>
      <w:r>
        <w:rPr>
          <w:rFonts w:hint="default" w:ascii="Arial" w:hAnsi="Arial" w:cs="Arial"/>
          <w:lang w:val="en-US" w:eastAsia="zh-CN"/>
        </w:rPr>
        <w:t>≤</w:t>
      </w:r>
      <w:r>
        <w:rPr>
          <w:rFonts w:hint="eastAsia"/>
          <w:lang w:val="en-US" w:eastAsia="zh-CN"/>
        </w:rPr>
        <w:t>100m，两条(左、右岸有明显水流处)</w:t>
      </w:r>
    </w:p>
    <w:p w14:paraId="5A5E357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b&gt;100m，     三条(左、中、右)</w:t>
      </w:r>
    </w:p>
    <w:p w14:paraId="45F59BB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注1:垂线布设应避开污染带，监测污染带应另加垂线。</w:t>
      </w:r>
    </w:p>
    <w:p w14:paraId="24FEC9A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注2:确能证明断面水质均匀时，可仅在中线设置垂线。</w:t>
      </w:r>
    </w:p>
    <w:p w14:paraId="2D25BF9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注3:凡在该断面要计算污染物通量时，应按本表设置垂线。</w:t>
      </w:r>
    </w:p>
    <w:p w14:paraId="418FF91A">
      <w:pPr>
        <w:numPr>
          <w:ilvl w:val="0"/>
          <w:numId w:val="1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水深（h）</w:t>
      </w:r>
    </w:p>
    <w:p w14:paraId="6F68A818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h</w:t>
      </w:r>
      <w:r>
        <w:rPr>
          <w:rFonts w:hint="default" w:ascii="Arial" w:hAnsi="Arial" w:cs="Arial"/>
          <w:lang w:val="en-US" w:eastAsia="zh-CN"/>
        </w:rPr>
        <w:t>≤</w:t>
      </w:r>
      <w:r>
        <w:rPr>
          <w:rFonts w:hint="default"/>
          <w:lang w:val="en-US" w:eastAsia="zh-CN"/>
        </w:rPr>
        <w:t>5m</w:t>
      </w:r>
      <w:r>
        <w:rPr>
          <w:rFonts w:hint="eastAsia"/>
          <w:lang w:val="en-US" w:eastAsia="zh-CN"/>
        </w:rPr>
        <w:t xml:space="preserve">，       </w:t>
      </w:r>
      <w:r>
        <w:rPr>
          <w:rFonts w:hint="default"/>
          <w:lang w:val="en-US" w:eastAsia="zh-CN"/>
        </w:rPr>
        <w:t>上层一点</w:t>
      </w:r>
    </w:p>
    <w:p w14:paraId="1914978F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5m&lt;</w:t>
      </w:r>
      <w:r>
        <w:rPr>
          <w:rFonts w:hint="eastAsia"/>
          <w:lang w:val="en-US" w:eastAsia="zh-CN"/>
        </w:rPr>
        <w:t>h</w:t>
      </w:r>
      <w:r>
        <w:rPr>
          <w:rFonts w:hint="default" w:ascii="Arial" w:hAnsi="Arial" w:cs="Arial"/>
          <w:lang w:val="en-US" w:eastAsia="zh-CN"/>
        </w:rPr>
        <w:t>≤</w:t>
      </w:r>
      <w:r>
        <w:rPr>
          <w:rFonts w:hint="default"/>
          <w:lang w:val="en-US" w:eastAsia="zh-CN"/>
        </w:rPr>
        <w:t>10m</w:t>
      </w:r>
      <w:r>
        <w:rPr>
          <w:rFonts w:hint="eastAsia"/>
          <w:lang w:val="en-US" w:eastAsia="zh-CN"/>
        </w:rPr>
        <w:t xml:space="preserve">，  </w:t>
      </w:r>
      <w:r>
        <w:rPr>
          <w:rFonts w:hint="default"/>
          <w:lang w:val="en-US" w:eastAsia="zh-CN"/>
        </w:rPr>
        <w:t>上层、下层两点</w:t>
      </w:r>
    </w:p>
    <w:p w14:paraId="4B65AFBF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h</w:t>
      </w:r>
      <w:r>
        <w:rPr>
          <w:rFonts w:hint="default"/>
          <w:lang w:val="en-US" w:eastAsia="zh-CN"/>
        </w:rPr>
        <w:t>&gt;10m</w:t>
      </w:r>
      <w:r>
        <w:rPr>
          <w:rFonts w:hint="eastAsia"/>
          <w:lang w:val="en-US" w:eastAsia="zh-CN"/>
        </w:rPr>
        <w:t xml:space="preserve">，      </w:t>
      </w:r>
      <w:r>
        <w:rPr>
          <w:rFonts w:hint="default"/>
          <w:lang w:val="en-US" w:eastAsia="zh-CN"/>
        </w:rPr>
        <w:t>上层、中层、下层三点</w:t>
      </w:r>
    </w:p>
    <w:p w14:paraId="6651EB2B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注:</w:t>
      </w:r>
      <w:r>
        <w:rPr>
          <w:rFonts w:hint="eastAsia"/>
          <w:lang w:val="en-US" w:eastAsia="zh-CN"/>
        </w:rPr>
        <w:t>上层：</w:t>
      </w:r>
      <w:r>
        <w:rPr>
          <w:rFonts w:hint="default"/>
          <w:lang w:val="en-US" w:eastAsia="zh-CN"/>
        </w:rPr>
        <w:t>水面下或冰下 0.5m处。水深不到0.5m时，在1/2水深处。</w:t>
      </w:r>
    </w:p>
    <w:p w14:paraId="30C59BD5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下层：</w:t>
      </w:r>
      <w:r>
        <w:rPr>
          <w:rFonts w:hint="default"/>
          <w:lang w:val="en-US" w:eastAsia="zh-CN"/>
        </w:rPr>
        <w:t>河底以上 0.5m处。</w:t>
      </w:r>
    </w:p>
    <w:p w14:paraId="70F569CF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中层：</w:t>
      </w:r>
      <w:r>
        <w:rPr>
          <w:rFonts w:hint="default"/>
          <w:lang w:val="en-US" w:eastAsia="zh-CN"/>
        </w:rPr>
        <w:t>1/2 水深处。</w:t>
      </w:r>
      <w:bookmarkStart w:id="0" w:name="_GoBack"/>
      <w:bookmarkEnd w:id="0"/>
    </w:p>
    <w:p w14:paraId="6457777D">
      <w:pPr>
        <w:numPr>
          <w:ilvl w:val="0"/>
          <w:numId w:val="0"/>
        </w:numPr>
        <w:ind w:leftChars="0" w:firstLine="720" w:firstLineChars="300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湖泊水库</w:t>
      </w:r>
    </w:p>
    <w:p w14:paraId="63D5CD63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drawing>
          <wp:inline distT="0" distB="0" distL="114300" distR="114300">
            <wp:extent cx="5269230" cy="1725930"/>
            <wp:effectExtent l="0" t="0" r="1270" b="127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725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77C5B7">
      <w:pPr>
        <w:rPr>
          <w:rFonts w:hint="eastAsia"/>
          <w:b/>
          <w:bCs/>
          <w:sz w:val="32"/>
          <w:szCs w:val="32"/>
          <w:lang w:val="en-US" w:eastAsia="zh-CN"/>
        </w:rPr>
      </w:pPr>
      <w:r>
        <w:rPr>
          <w:rFonts w:hint="eastAsia"/>
          <w:b/>
          <w:bCs/>
          <w:sz w:val="32"/>
          <w:szCs w:val="32"/>
          <w:lang w:val="en-US" w:eastAsia="zh-CN"/>
        </w:rPr>
        <w:t>二：频次</w:t>
      </w:r>
    </w:p>
    <w:p w14:paraId="0ACE398E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a、地表水环境质量监测可按月开展</w:t>
      </w:r>
    </w:p>
    <w:p w14:paraId="746153F4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b、若自然或人为原因干扰可开展密切监测</w:t>
      </w:r>
    </w:p>
    <w:p w14:paraId="46A21D6C">
      <w:pPr>
        <w:rPr>
          <w:rFonts w:hint="default"/>
          <w:b/>
          <w:bCs/>
          <w:sz w:val="32"/>
          <w:szCs w:val="32"/>
          <w:lang w:val="en-US" w:eastAsia="zh-CN"/>
        </w:rPr>
      </w:pPr>
      <w:r>
        <w:rPr>
          <w:rFonts w:hint="eastAsia"/>
          <w:b/>
          <w:bCs/>
          <w:sz w:val="32"/>
          <w:szCs w:val="32"/>
          <w:lang w:val="en-US" w:eastAsia="zh-CN"/>
        </w:rPr>
        <w:t>三：采样方法标准</w:t>
      </w:r>
    </w:p>
    <w:p w14:paraId="36CE4422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A、</w:t>
      </w:r>
      <w:r>
        <w:rPr>
          <w:rFonts w:hint="default"/>
          <w:lang w:val="en-US" w:eastAsia="zh-CN"/>
        </w:rPr>
        <w:t>在同一监测断面分层采样时，应自上而下进行，避免不同层次水体混扰:</w:t>
      </w:r>
    </w:p>
    <w:p w14:paraId="4D9F5B01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B、</w:t>
      </w:r>
      <w:r>
        <w:rPr>
          <w:rFonts w:hint="default"/>
          <w:lang w:val="en-US" w:eastAsia="zh-CN"/>
        </w:rPr>
        <w:t>除标准分析方法有特殊要求的监测项目外，采样器、静置容器和样品瓶在使用前应先用水样分别荡洗2~3次;</w:t>
      </w:r>
    </w:p>
    <w:p w14:paraId="0E786CAF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C、</w:t>
      </w:r>
      <w:r>
        <w:rPr>
          <w:rFonts w:hint="default"/>
          <w:lang w:val="en-US" w:eastAsia="zh-CN"/>
        </w:rPr>
        <w:t>采样时不可搅动水底的沉积物。除标准分析方法有特殊要求的监测项目外，采集的水样倒入静置容器中，保证足够用量，自然静置30min。自然静置时，使用防尘盖遮挡，避免灰尘污染:</w:t>
      </w:r>
    </w:p>
    <w:p w14:paraId="63ED49FC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D、</w:t>
      </w:r>
      <w:r>
        <w:rPr>
          <w:rFonts w:hint="default"/>
          <w:lang w:val="en-US" w:eastAsia="zh-CN"/>
        </w:rPr>
        <w:t>使用虹吸装置取上层不含沉降性固体的水样，移入样品瓶，虹吸装置进水尖嘴应保持插至水样表层 50 mm 以下位置。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8515BD5"/>
    <w:multiLevelType w:val="singleLevel"/>
    <w:tmpl w:val="18515BD5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8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32095"/>
    <w:rsid w:val="000D7DC0"/>
    <w:rsid w:val="00241D21"/>
    <w:rsid w:val="00264BAF"/>
    <w:rsid w:val="00310900"/>
    <w:rsid w:val="0036554D"/>
    <w:rsid w:val="003F0D38"/>
    <w:rsid w:val="0055176E"/>
    <w:rsid w:val="005825D9"/>
    <w:rsid w:val="005E7AA3"/>
    <w:rsid w:val="005F58D1"/>
    <w:rsid w:val="006C6D9A"/>
    <w:rsid w:val="007F760B"/>
    <w:rsid w:val="009F31E9"/>
    <w:rsid w:val="00C32095"/>
    <w:rsid w:val="00C9301B"/>
    <w:rsid w:val="00DD692F"/>
    <w:rsid w:val="00E37E60"/>
    <w:rsid w:val="00E44C80"/>
    <w:rsid w:val="043C37F3"/>
    <w:rsid w:val="0C570609"/>
    <w:rsid w:val="5D5E7AB6"/>
    <w:rsid w:val="666C585D"/>
    <w:rsid w:val="6C97371F"/>
    <w:rsid w:val="7FCC1D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2767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99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104862" w:themeColor="accent1" w:themeShade="BF"/>
      <w:sz w:val="28"/>
      <w:szCs w:val="28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104862" w:themeColor="accent1" w:themeShade="BF"/>
      <w:sz w:val="24"/>
      <w:szCs w:val="24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/>
      <w:outlineLvl w:val="5"/>
    </w:pPr>
    <w:rPr>
      <w:rFonts w:cstheme="majorBidi"/>
      <w:b/>
      <w:bCs/>
      <w:color w:val="104862" w:themeColor="accent1" w:themeShade="BF"/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4">
    <w:name w:val="Default Paragraph Font"/>
    <w:unhideWhenUsed/>
    <w:uiPriority w:val="1"/>
  </w:style>
  <w:style w:type="table" w:default="1" w:styleId="1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Subtitle"/>
    <w:basedOn w:val="1"/>
    <w:next w:val="1"/>
    <w:link w:val="25"/>
    <w:qFormat/>
    <w:uiPriority w:val="11"/>
    <w:pPr>
      <w:spacing w:after="160"/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2">
    <w:name w:val="Title"/>
    <w:basedOn w:val="1"/>
    <w:next w:val="1"/>
    <w:link w:val="24"/>
    <w:qFormat/>
    <w:uiPriority w:val="10"/>
    <w:pPr>
      <w:spacing w:after="80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标题 1 字符"/>
    <w:basedOn w:val="14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character" w:customStyle="1" w:styleId="16">
    <w:name w:val="标题 2 字符"/>
    <w:basedOn w:val="14"/>
    <w:link w:val="3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7">
    <w:name w:val="标题 3 字符"/>
    <w:basedOn w:val="14"/>
    <w:link w:val="4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8">
    <w:name w:val="标题 4 字符"/>
    <w:basedOn w:val="14"/>
    <w:link w:val="5"/>
    <w:semiHidden/>
    <w:uiPriority w:val="9"/>
    <w:rPr>
      <w:rFonts w:cstheme="majorBidi"/>
      <w:color w:val="104862" w:themeColor="accent1" w:themeShade="BF"/>
      <w:sz w:val="28"/>
      <w:szCs w:val="28"/>
    </w:rPr>
  </w:style>
  <w:style w:type="character" w:customStyle="1" w:styleId="19">
    <w:name w:val="标题 5 字符"/>
    <w:basedOn w:val="14"/>
    <w:link w:val="6"/>
    <w:semiHidden/>
    <w:qFormat/>
    <w:uiPriority w:val="9"/>
    <w:rPr>
      <w:rFonts w:cstheme="majorBidi"/>
      <w:color w:val="104862" w:themeColor="accent1" w:themeShade="BF"/>
      <w:sz w:val="24"/>
      <w:szCs w:val="24"/>
    </w:rPr>
  </w:style>
  <w:style w:type="character" w:customStyle="1" w:styleId="20">
    <w:name w:val="标题 6 字符"/>
    <w:basedOn w:val="14"/>
    <w:link w:val="7"/>
    <w:semiHidden/>
    <w:uiPriority w:val="9"/>
    <w:rPr>
      <w:rFonts w:cstheme="majorBidi"/>
      <w:b/>
      <w:bCs/>
      <w:color w:val="104862" w:themeColor="accent1" w:themeShade="BF"/>
    </w:rPr>
  </w:style>
  <w:style w:type="character" w:customStyle="1" w:styleId="21">
    <w:name w:val="标题 7 字符"/>
    <w:basedOn w:val="14"/>
    <w:link w:val="8"/>
    <w:semiHidden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标题 8 字符"/>
    <w:basedOn w:val="14"/>
    <w:link w:val="9"/>
    <w:semiHidden/>
    <w:qFormat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标题 9 字符"/>
    <w:basedOn w:val="14"/>
    <w:link w:val="10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字符"/>
    <w:basedOn w:val="14"/>
    <w:link w:val="12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副标题 字符"/>
    <w:basedOn w:val="14"/>
    <w:link w:val="11"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 w:after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引用 字符"/>
    <w:basedOn w:val="14"/>
    <w:link w:val="2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4"/>
    <w:qFormat/>
    <w:uiPriority w:val="21"/>
    <w:rPr>
      <w:i/>
      <w:iCs/>
      <w:color w:val="104862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1">
    <w:name w:val="明显引用 字符"/>
    <w:basedOn w:val="14"/>
    <w:link w:val="30"/>
    <w:qFormat/>
    <w:uiPriority w:val="30"/>
    <w:rPr>
      <w:i/>
      <w:iCs/>
      <w:color w:val="104862" w:themeColor="accent1" w:themeShade="BF"/>
    </w:rPr>
  </w:style>
  <w:style w:type="character" w:customStyle="1" w:styleId="32">
    <w:name w:val="Intense Reference"/>
    <w:basedOn w:val="14"/>
    <w:qFormat/>
    <w:uiPriority w:val="32"/>
    <w:rPr>
      <w:b/>
      <w:bCs/>
      <w:smallCaps/>
      <w:color w:val="104862" w:themeColor="accent1" w:themeShade="BF"/>
      <w:spacing w:val="5"/>
    </w:rPr>
  </w:style>
  <w:style w:type="character" w:styleId="33">
    <w:name w:val="Placeholder Text"/>
    <w:basedOn w:val="14"/>
    <w:semiHidden/>
    <w:qFormat/>
    <w:uiPriority w:val="99"/>
    <w:rPr>
      <w:color w:val="666666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457</Words>
  <Characters>513</Characters>
  <Lines>10</Lines>
  <Paragraphs>2</Paragraphs>
  <TotalTime>12</TotalTime>
  <ScaleCrop>false</ScaleCrop>
  <LinksUpToDate>false</LinksUpToDate>
  <CharactersWithSpaces>519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2025-06-27T12:57:00Z</dcterms:created>
  <dc:creator>卓 郑</dc:creator>
  <cp:lastModifiedBy>WPS_1670212503</cp:lastModifiedBy>
  <dcterms:modified xsi:type="dcterms:W3CDTF">2025-08-05T09:18:42Z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eyJoZGlkIjoiOWQ4YWM2NDc3NmVhMzQ3NzNmYWI5MTYzZmY1YTViZGYiLCJ1c2VySWQiOiIxNDU2NDExMzQ4In0=</vt:lpwstr>
  </property>
  <property fmtid="{D5CDD505-2E9C-101B-9397-08002B2CF9AE}" pid="3" name="KSOProductBuildVer">
    <vt:lpwstr>2052-12.1.0.21915</vt:lpwstr>
  </property>
  <property fmtid="{D5CDD505-2E9C-101B-9397-08002B2CF9AE}" pid="4" name="ICV">
    <vt:lpwstr>9EFAC2F3E2554A49940117ED1B55D823_13</vt:lpwstr>
  </property>
</Properties>
</file>