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55555"/>
          <w:sz w:val="22"/>
          <w:szCs w:val="22"/>
        </w:rPr>
        <w:t xml:space="preserve">Azure DevOps Engineer  ·  Cloud Automation &amp; Database Operations</w:t>
      </w:r>
    </w:p>
    <w:p>
      <w:pPr>
        <w:spacing w:after="200"/>
        <w:jc w:val="center"/>
      </w:pPr>
      <w:r>
        <w:rPr>
          <w:rFonts w:ascii="Calibri" w:cs="Calibri" w:eastAsia="Calibri" w:hAnsi="Calibri"/>
          <w:sz w:val="19"/>
          <w:szCs w:val="19"/>
        </w:rPr>
        <w:t>Andhra Pradesh, India</w:t>
      </w:r>
      <w:r>
        <w:rPr>
          <w:rFonts w:ascii="Calibri" w:cs="Calibri" w:eastAsia="Calibri" w:hAnsi="Calibri"/>
          <w:color w:val="888888"/>
          <w:sz w:val="19"/>
          <w:szCs w:val="19"/>
        </w:rPr>
      </w:r>
      <w:r>
        <w:rPr>
          <w:rFonts w:ascii="Calibri" w:cs="Calibri" w:eastAsia="Calibri" w:hAnsi="Calibri"/>
          <w:sz w:val="19"/>
          <w:szCs w:val="19"/>
        </w:rPr>
      </w:r>
      <w:r>
        <w:rPr>
          <w:rFonts w:ascii="Calibri" w:cs="Calibri" w:eastAsia="Calibri" w:hAnsi="Calibri"/>
          <w:color w:val="888888"/>
          <w:sz w:val="19"/>
          <w:szCs w:val="19"/>
        </w:rPr>
      </w:r>
      <w:r>
        <w:rPr>
          <w:rFonts w:ascii="Calibri" w:cs="Calibri" w:eastAsia="Calibri" w:hAnsi="Calibri"/>
          <w:sz w:val="19"/>
          <w:szCs w:val="19"/>
        </w:rPr>
      </w:r>
      <w:r>
        <w:rPr>
          <w:rFonts w:ascii="Calibri" w:cs="Calibri" w:eastAsia="Calibri" w:hAnsi="Calibri"/>
          <w:color w:val="888888"/>
          <w:sz w:val="19"/>
          <w:szCs w:val="19"/>
        </w:rPr>
      </w:r>
      <w:r>
        <w:rPr>
          <w:rFonts w:ascii="Calibri" w:cs="Calibri" w:eastAsia="Calibri" w:hAnsi="Calibri"/>
          <w:sz w:val="19"/>
          <w:szCs w:val="19"/>
        </w:rPr>
      </w:r>
    </w:p>
    <w:p>
      <w:pPr>
        <w:pBdr>
          <w:bottom w:val="single" w:color="1B5E6F" w:sz="6" w:space="2"/>
        </w:pBdr>
        <w:spacing w:after="80" w:before="240"/>
      </w:pPr>
      <w:r>
        <w:rPr>
          <w:rFonts w:ascii="Calibri" w:cs="Calibri" w:eastAsia="Calibri" w:hAnsi="Calibri"/>
          <w:b/>
          <w:bCs/>
          <w:color w:val="1B5E6F"/>
          <w:sz w:val="23"/>
          <w:szCs w:val="23"/>
        </w:rPr>
        <w:t xml:space="preserve">Summary</w:t>
      </w:r>
    </w:p>
    <w:p>
      <w:pPr>
        <w:spacing w:after="90"/>
        <w:jc w:val="left"/>
      </w:pPr>
      <w:r>
        <w:rPr>
          <w:rFonts w:ascii="Calibri" w:cs="Calibri" w:eastAsia="Calibri" w:hAnsi="Calibri"/>
          <w:b w:val="false"/>
          <w:bCs w:val="false"/>
          <w:i w:val="false"/>
          <w:iCs w:val="false"/>
          <w:sz w:val="20"/>
          <w:szCs w:val="20"/>
        </w:rPr>
        <w:t xml:space="preserve">Azure DevOps engineer with around 4.5 years of IT experience — 3+ years in Azure cloud, CI/CD automation, and infrastructure engineering, on top of a foundational year in Oracle database administration. Currently at HCL Technologies building Azure DevOps pipelines, provisioning cloud infrastructure with Terraform, deploying containerised applications to AKS, and integrating DevSecOps controls.</w:t>
      </w:r>
    </w:p>
    <w:p>
      <w:pPr>
        <w:spacing w:after="100"/>
        <w:jc w:val="left"/>
      </w:pPr>
      <w:r>
        <w:rPr>
          <w:rFonts w:ascii="Calibri" w:cs="Calibri" w:eastAsia="Calibri" w:hAnsi="Calibri"/>
          <w:b w:val="false"/>
          <w:bCs w:val="false"/>
          <w:i w:val="false"/>
          <w:iCs w:val="false"/>
          <w:sz w:val="20"/>
          <w:szCs w:val="20"/>
        </w:rPr>
        <w:t xml:space="preserve">Comfortable across Azure DevOps YAML pipelines, Terraform IaC, Docker and Kubernetes on AKS, Helm charts, Azure Key Vault, and the Azure observability stack (Azure Monitor, Application Insights, Log Analytics, Prometheus, Grafana). Database background (Oracle 11g/12c/19c, RMAN, Data Guard, ASM, RAC) brings genuine cross-functional value when modernising legacy application estates onto cloud-native platforms.</w:t>
      </w:r>
    </w:p>
    <w:p>
      <w:pPr>
        <w:pBdr>
          <w:bottom w:val="single" w:color="1B5E6F" w:sz="6" w:space="2"/>
        </w:pBdr>
        <w:spacing w:after="80" w:before="240"/>
      </w:pPr>
      <w:r>
        <w:rPr>
          <w:rFonts w:ascii="Calibri" w:cs="Calibri" w:eastAsia="Calibri" w:hAnsi="Calibri"/>
          <w:b/>
          <w:bCs/>
          <w:color w:val="1B5E6F"/>
          <w:sz w:val="23"/>
          <w:szCs w:val="23"/>
        </w:rPr>
        <w:t xml:space="preserve">Technical Skills</w:t>
      </w:r>
    </w:p>
    <w:p>
      <w:pPr>
        <w:spacing w:after="55"/>
      </w:pPr>
      <w:r>
        <w:rPr>
          <w:rFonts w:ascii="Calibri" w:cs="Calibri" w:eastAsia="Calibri" w:hAnsi="Calibri"/>
          <w:b/>
          <w:bCs/>
          <w:sz w:val="20"/>
          <w:szCs w:val="20"/>
        </w:rPr>
        <w:t xml:space="preserve">Cloud Platforms: </w:t>
      </w:r>
      <w:r>
        <w:rPr>
          <w:rFonts w:ascii="Calibri" w:cs="Calibri" w:eastAsia="Calibri" w:hAnsi="Calibri"/>
          <w:sz w:val="20"/>
          <w:szCs w:val="20"/>
        </w:rPr>
        <w:t xml:space="preserve">Microsoft Azure (primary), AWS (working knowledge)</w:t>
      </w:r>
    </w:p>
    <w:p>
      <w:pPr>
        <w:spacing w:after="55"/>
      </w:pPr>
      <w:r>
        <w:rPr>
          <w:rFonts w:ascii="Calibri" w:cs="Calibri" w:eastAsia="Calibri" w:hAnsi="Calibri"/>
          <w:b/>
          <w:bCs/>
          <w:sz w:val="20"/>
          <w:szCs w:val="20"/>
        </w:rPr>
        <w:t xml:space="preserve">Azure Services: </w:t>
      </w:r>
      <w:r>
        <w:rPr>
          <w:rFonts w:ascii="Calibri" w:cs="Calibri" w:eastAsia="Calibri" w:hAnsi="Calibri"/>
          <w:sz w:val="20"/>
          <w:szCs w:val="20"/>
        </w:rPr>
        <w:t xml:space="preserve">Azure DevOps, Virtual Machines, Storage, Networking (VNet, NSG), App Services, AKS, Container Registry (ACR), Key Vault, Monitor, Application Insights, Log Analytics, Entra ID (Azure AD), Backup, Azure CLI</w:t>
      </w:r>
    </w:p>
    <w:p>
      <w:pPr>
        <w:spacing w:after="55"/>
      </w:pPr>
      <w:r>
        <w:rPr>
          <w:rFonts w:ascii="Calibri" w:cs="Calibri" w:eastAsia="Calibri" w:hAnsi="Calibri"/>
          <w:b/>
          <w:bCs/>
          <w:sz w:val="20"/>
          <w:szCs w:val="20"/>
        </w:rPr>
        <w:t xml:space="preserve">CI/CD &amp; DevOps: </w:t>
      </w:r>
      <w:r>
        <w:rPr>
          <w:rFonts w:ascii="Calibri" w:cs="Calibri" w:eastAsia="Calibri" w:hAnsi="Calibri"/>
          <w:sz w:val="20"/>
          <w:szCs w:val="20"/>
        </w:rPr>
        <w:t xml:space="preserve">Azure Pipelines (Multi-Stage YAML), Azure Repos, GitHub Actions, Jenkins, release management, deployment approvals</w:t>
      </w:r>
    </w:p>
    <w:p>
      <w:pPr>
        <w:spacing w:after="55"/>
      </w:pPr>
      <w:r>
        <w:rPr>
          <w:rFonts w:ascii="Calibri" w:cs="Calibri" w:eastAsia="Calibri" w:hAnsi="Calibri"/>
          <w:b/>
          <w:bCs/>
          <w:sz w:val="20"/>
          <w:szCs w:val="20"/>
        </w:rPr>
        <w:t xml:space="preserve">Containers &amp; Orchestration: </w:t>
      </w:r>
      <w:r>
        <w:rPr>
          <w:rFonts w:ascii="Calibri" w:cs="Calibri" w:eastAsia="Calibri" w:hAnsi="Calibri"/>
          <w:sz w:val="20"/>
          <w:szCs w:val="20"/>
        </w:rPr>
        <w:t xml:space="preserve">Docker, Kubernetes, Azure Kubernetes Service (AKS), Helm charts, container registry management</w:t>
      </w:r>
    </w:p>
    <w:p>
      <w:pPr>
        <w:spacing w:after="55"/>
      </w:pPr>
      <w:r>
        <w:rPr>
          <w:rFonts w:ascii="Calibri" w:cs="Calibri" w:eastAsia="Calibri" w:hAnsi="Calibri"/>
          <w:b/>
          <w:bCs/>
          <w:sz w:val="20"/>
          <w:szCs w:val="20"/>
        </w:rPr>
        <w:t xml:space="preserve">Infrastructure as Code: </w:t>
      </w:r>
      <w:r>
        <w:rPr>
          <w:rFonts w:ascii="Calibri" w:cs="Calibri" w:eastAsia="Calibri" w:hAnsi="Calibri"/>
          <w:sz w:val="20"/>
          <w:szCs w:val="20"/>
        </w:rPr>
        <w:t xml:space="preserve">Terraform (reusable modules), ARM Templates, Azure CLI</w:t>
      </w:r>
    </w:p>
    <w:p>
      <w:pPr>
        <w:spacing w:after="55"/>
      </w:pPr>
      <w:r>
        <w:rPr>
          <w:rFonts w:ascii="Calibri" w:cs="Calibri" w:eastAsia="Calibri" w:hAnsi="Calibri"/>
          <w:b/>
          <w:bCs/>
          <w:sz w:val="20"/>
          <w:szCs w:val="20"/>
        </w:rPr>
        <w:t xml:space="preserve">DevSecOps &amp; Security: </w:t>
      </w:r>
      <w:r>
        <w:rPr>
          <w:rFonts w:ascii="Calibri" w:cs="Calibri" w:eastAsia="Calibri" w:hAnsi="Calibri"/>
          <w:sz w:val="20"/>
          <w:szCs w:val="20"/>
        </w:rPr>
        <w:t xml:space="preserve">SonarQube (SAST, quality gates), Azure Key Vault, RBAC, secrets management, security scanning, secure CI/CD workflows</w:t>
      </w:r>
    </w:p>
    <w:p>
      <w:pPr>
        <w:spacing w:after="55"/>
      </w:pPr>
      <w:r>
        <w:rPr>
          <w:rFonts w:ascii="Calibri" w:cs="Calibri" w:eastAsia="Calibri" w:hAnsi="Calibri"/>
          <w:b/>
          <w:bCs/>
          <w:sz w:val="20"/>
          <w:szCs w:val="20"/>
        </w:rPr>
        <w:t xml:space="preserve">Monitoring &amp; Observability: </w:t>
      </w:r>
      <w:r>
        <w:rPr>
          <w:rFonts w:ascii="Calibri" w:cs="Calibri" w:eastAsia="Calibri" w:hAnsi="Calibri"/>
          <w:sz w:val="20"/>
          <w:szCs w:val="20"/>
        </w:rPr>
        <w:t xml:space="preserve">Azure Monitor, Application Insights, Log Analytics, Prometheus, Grafana, alerting and dashboards</w:t>
      </w:r>
    </w:p>
    <w:p>
      <w:pPr>
        <w:spacing w:after="55"/>
      </w:pPr>
      <w:r>
        <w:rPr>
          <w:rFonts w:ascii="Calibri" w:cs="Calibri" w:eastAsia="Calibri" w:hAnsi="Calibri"/>
          <w:b/>
          <w:bCs/>
          <w:sz w:val="20"/>
          <w:szCs w:val="20"/>
        </w:rPr>
        <w:t xml:space="preserve">Databases: </w:t>
      </w:r>
      <w:r>
        <w:rPr>
          <w:rFonts w:ascii="Calibri" w:cs="Calibri" w:eastAsia="Calibri" w:hAnsi="Calibri"/>
          <w:sz w:val="20"/>
          <w:szCs w:val="20"/>
        </w:rPr>
        <w:t xml:space="preserve">Oracle 11g / 12c / 19c, Oracle RMAN, Data Guard, ASM, RAC, Oracle E-Business Suite (EBS), IBM DB2</w:t>
      </w:r>
    </w:p>
    <w:p>
      <w:pPr>
        <w:spacing w:after="55"/>
      </w:pPr>
      <w:r>
        <w:rPr>
          <w:rFonts w:ascii="Calibri" w:cs="Calibri" w:eastAsia="Calibri" w:hAnsi="Calibri"/>
          <w:b/>
          <w:bCs/>
          <w:sz w:val="20"/>
          <w:szCs w:val="20"/>
        </w:rPr>
        <w:t xml:space="preserve">Scripting &amp; Automation: </w:t>
      </w:r>
      <w:r>
        <w:rPr>
          <w:rFonts w:ascii="Calibri" w:cs="Calibri" w:eastAsia="Calibri" w:hAnsi="Calibri"/>
          <w:sz w:val="20"/>
          <w:szCs w:val="20"/>
        </w:rPr>
        <w:t xml:space="preserve">PowerShell, Bash, Shell scripting, Python (basic)</w:t>
      </w:r>
    </w:p>
    <w:p>
      <w:pPr>
        <w:spacing w:after="55"/>
      </w:pPr>
      <w:r>
        <w:rPr>
          <w:rFonts w:ascii="Calibri" w:cs="Calibri" w:eastAsia="Calibri" w:hAnsi="Calibri"/>
          <w:b/>
          <w:bCs/>
          <w:sz w:val="20"/>
          <w:szCs w:val="20"/>
        </w:rPr>
        <w:t xml:space="preserve">Version Control: </w:t>
      </w:r>
      <w:r>
        <w:rPr>
          <w:rFonts w:ascii="Calibri" w:cs="Calibri" w:eastAsia="Calibri" w:hAnsi="Calibri"/>
          <w:sz w:val="20"/>
          <w:szCs w:val="20"/>
        </w:rPr>
        <w:t xml:space="preserve">Git, GitHub, Azure Repos, branching strategies, pull request workflows</w:t>
      </w:r>
    </w:p>
    <w:p>
      <w:pPr>
        <w:spacing w:after="55"/>
      </w:pPr>
      <w:r>
        <w:rPr>
          <w:rFonts w:ascii="Calibri" w:cs="Calibri" w:eastAsia="Calibri" w:hAnsi="Calibri"/>
          <w:b/>
          <w:bCs/>
          <w:sz w:val="20"/>
          <w:szCs w:val="20"/>
        </w:rPr>
        <w:t xml:space="preserve">Operating Systems: </w:t>
      </w:r>
      <w:r>
        <w:rPr>
          <w:rFonts w:ascii="Calibri" w:cs="Calibri" w:eastAsia="Calibri" w:hAnsi="Calibri"/>
          <w:sz w:val="20"/>
          <w:szCs w:val="20"/>
        </w:rPr>
        <w:t xml:space="preserve">Linux, AIX, Windows</w:t>
      </w:r>
    </w:p>
    <w:p>
      <w:pPr>
        <w:spacing w:after="55"/>
      </w:pPr>
      <w:r>
        <w:rPr>
          <w:rFonts w:ascii="Calibri" w:cs="Calibri" w:eastAsia="Calibri" w:hAnsi="Calibri"/>
          <w:b/>
          <w:bCs/>
          <w:sz w:val="20"/>
          <w:szCs w:val="20"/>
        </w:rPr>
        <w:t xml:space="preserve">ITSM &amp; Delivery: </w:t>
      </w:r>
      <w:r>
        <w:rPr>
          <w:rFonts w:ascii="Calibri" w:cs="Calibri" w:eastAsia="Calibri" w:hAnsi="Calibri"/>
          <w:sz w:val="20"/>
          <w:szCs w:val="20"/>
        </w:rPr>
        <w:t xml:space="preserve">ServiceNow, Jira, Agile, Scrum, incident management, RCA discipline</w:t>
      </w:r>
    </w:p>
    <w:p>
      <w:pPr>
        <w:pBdr>
          <w:bottom w:val="single" w:color="1B5E6F" w:sz="6" w:space="2"/>
        </w:pBdr>
        <w:spacing w:after="80" w:before="240"/>
      </w:pPr>
      <w:r>
        <w:rPr>
          <w:rFonts w:ascii="Calibri" w:cs="Calibri" w:eastAsia="Calibri" w:hAnsi="Calibri"/>
          <w:b/>
          <w:bCs/>
          <w:color w:val="1B5E6F"/>
          <w:sz w:val="23"/>
          <w:szCs w:val="23"/>
        </w:rPr>
        <w:t xml:space="preserve">Professional Experience</w:t>
      </w:r>
    </w:p>
    <w:p>
      <w:pPr>
        <w:tabs>
          <w:tab w:val="right" w:pos="9700"/>
        </w:tabs>
        <w:spacing w:after="0" w:before="140"/>
      </w:pPr>
      <w:r>
        <w:rPr>
          <w:rFonts w:ascii="Calibri" w:cs="Calibri" w:eastAsia="Calibri" w:hAnsi="Calibri"/>
          <w:b/>
          <w:bCs/>
          <w:color w:val="1B5E6F"/>
          <w:sz w:val="21"/>
          <w:szCs w:val="21"/>
        </w:rPr>
        <w:t xml:space="preserve">Azure DevOps Engineer / Cloud Operations Engineer</w:t>
      </w:r>
      <w:r>
        <w:rPr>
          <w:rFonts w:ascii="Calibri" w:cs="Calibri" w:eastAsia="Calibri" w:hAnsi="Calibri"/>
          <w:sz w:val="21"/>
          <w:szCs w:val="21"/>
        </w:rPr>
        <w:t xml:space="preserve">	</w:t>
      </w:r>
      <w:r>
        <w:rPr>
          <w:rFonts w:ascii="Calibri" w:cs="Calibri" w:eastAsia="Calibri" w:hAnsi="Calibri"/>
          <w:color w:val="555555"/>
          <w:sz w:val="19"/>
          <w:szCs w:val="19"/>
        </w:rPr>
        <w:t xml:space="preserve">Jan 2023 – Present</w:t>
      </w:r>
    </w:p>
    <w:p>
      <w:pPr>
        <w:spacing w:after="80"/>
      </w:pPr>
      <w:r>
        <w:rPr>
          <w:rFonts w:ascii="Calibri" w:cs="Calibri" w:eastAsia="Calibri" w:hAnsi="Calibri"/>
          <w:i/>
          <w:iCs/>
          <w:sz w:val="20"/>
          <w:szCs w:val="20"/>
        </w:rPr>
        <w:t xml:space="preserve">HCL Technologies</w:t>
      </w:r>
      <w:r>
        <w:rPr>
          <w:rFonts w:ascii="Calibri" w:cs="Calibri" w:eastAsia="Calibri" w:hAnsi="Calibri"/>
          <w:i/>
          <w:iCs/>
          <w:color w:val="555555"/>
          <w:sz w:val="20"/>
          <w:szCs w:val="20"/>
        </w:rPr>
        <w:t xml:space="preserve">   ·   Client: CEMEX</w:t>
      </w:r>
    </w:p>
    <w:p>
      <w:pPr>
        <w:pStyle w:val="ListParagraph"/>
        <w:numPr>
          <w:ilvl w:val="0"/>
          <w:numId w:val="2"/>
        </w:numPr>
        <w:spacing w:after="55"/>
      </w:pPr>
      <w:r>
        <w:rPr>
          <w:rFonts w:ascii="Calibri" w:cs="Calibri" w:eastAsia="Calibri" w:hAnsi="Calibri"/>
          <w:sz w:val="20"/>
          <w:szCs w:val="20"/>
        </w:rPr>
        <w:t xml:space="preserve">Build and maintain Azure DevOps CI/CD pipelines using Azure Pipelines (YAML), Git, and Azure Repos — automating build, test, and deployment across Development, QA, UAT, and Production.</w:t>
      </w:r>
    </w:p>
    <w:p>
      <w:pPr>
        <w:pStyle w:val="ListParagraph"/>
        <w:numPr>
          <w:ilvl w:val="0"/>
          <w:numId w:val="2"/>
        </w:numPr>
        <w:spacing w:after="55"/>
      </w:pPr>
      <w:r>
        <w:rPr>
          <w:rFonts w:ascii="Calibri" w:cs="Calibri" w:eastAsia="Calibri" w:hAnsi="Calibri"/>
          <w:sz w:val="20"/>
          <w:szCs w:val="20"/>
        </w:rPr>
        <w:t xml:space="preserve">Provision Azure infrastructure using Terraform and Azure CLI — VMs, VNets, Storage Accounts, App Services, and supporting resources through Infrastructure as Code.</w:t>
      </w:r>
    </w:p>
    <w:p>
      <w:pPr>
        <w:pStyle w:val="ListParagraph"/>
        <w:numPr>
          <w:ilvl w:val="0"/>
          <w:numId w:val="2"/>
        </w:numPr>
        <w:spacing w:after="55"/>
      </w:pPr>
      <w:r>
        <w:rPr>
          <w:rFonts w:ascii="Calibri" w:cs="Calibri" w:eastAsia="Calibri" w:hAnsi="Calibri"/>
          <w:sz w:val="20"/>
          <w:szCs w:val="20"/>
        </w:rPr>
        <w:t xml:space="preserve">Containerise applications with Docker and deploy to Azure Kubernetes Service (AKS) using Helm charts for scalable, consistent releases.</w:t>
      </w:r>
    </w:p>
    <w:p>
      <w:pPr>
        <w:pStyle w:val="ListParagraph"/>
        <w:numPr>
          <w:ilvl w:val="0"/>
          <w:numId w:val="2"/>
        </w:numPr>
        <w:spacing w:after="55"/>
      </w:pPr>
      <w:r>
        <w:rPr>
          <w:rFonts w:ascii="Calibri" w:cs="Calibri" w:eastAsia="Calibri" w:hAnsi="Calibri"/>
          <w:sz w:val="20"/>
          <w:szCs w:val="20"/>
        </w:rPr>
        <w:t xml:space="preserve">Integrated Azure Key Vault with pipelines to manage secrets, certificates, and configuration — eliminated hardcoded credentials across environments.</w:t>
      </w:r>
    </w:p>
    <w:p>
      <w:pPr>
        <w:pStyle w:val="ListParagraph"/>
        <w:numPr>
          <w:ilvl w:val="0"/>
          <w:numId w:val="2"/>
        </w:numPr>
        <w:spacing w:after="55"/>
      </w:pPr>
      <w:r>
        <w:rPr>
          <w:rFonts w:ascii="Calibri" w:cs="Calibri" w:eastAsia="Calibri" w:hAnsi="Calibri"/>
          <w:sz w:val="20"/>
          <w:szCs w:val="20"/>
        </w:rPr>
        <w:t xml:space="preserve">Embedded DevSecOps controls into CI/CD — SonarQube code quality and security scanning, release approvals, and policy validation.</w:t>
      </w:r>
    </w:p>
    <w:p>
      <w:pPr>
        <w:pStyle w:val="ListParagraph"/>
        <w:numPr>
          <w:ilvl w:val="0"/>
          <w:numId w:val="2"/>
        </w:numPr>
        <w:spacing w:after="55"/>
      </w:pPr>
      <w:r>
        <w:rPr>
          <w:rFonts w:ascii="Calibri" w:cs="Calibri" w:eastAsia="Calibri" w:hAnsi="Calibri"/>
          <w:sz w:val="20"/>
          <w:szCs w:val="20"/>
        </w:rPr>
        <w:t xml:space="preserve">Built centralised monitoring and observability across Azure Monitor, Application Insights, Log Analytics, Prometheus, and Grafana — dashboards and alerts that surface real issues, not noise.</w:t>
      </w:r>
    </w:p>
    <w:p>
      <w:pPr>
        <w:pStyle w:val="ListParagraph"/>
        <w:numPr>
          <w:ilvl w:val="0"/>
          <w:numId w:val="2"/>
        </w:numPr>
        <w:spacing w:after="55"/>
      </w:pPr>
      <w:r>
        <w:rPr>
          <w:rFonts w:ascii="Calibri" w:cs="Calibri" w:eastAsia="Calibri" w:hAnsi="Calibri"/>
          <w:sz w:val="20"/>
          <w:szCs w:val="20"/>
        </w:rPr>
        <w:t xml:space="preserve">Support Site Reliability Engineering practices: incident management, root cause analysis, disaster recovery validation, capacity planning, and high-availability improvements.</w:t>
      </w:r>
    </w:p>
    <w:p>
      <w:pPr>
        <w:pStyle w:val="ListParagraph"/>
        <w:numPr>
          <w:ilvl w:val="0"/>
          <w:numId w:val="2"/>
        </w:numPr>
        <w:spacing w:after="55"/>
      </w:pPr>
      <w:r>
        <w:rPr>
          <w:rFonts w:ascii="Calibri" w:cs="Calibri" w:eastAsia="Calibri" w:hAnsi="Calibri"/>
          <w:sz w:val="20"/>
          <w:szCs w:val="20"/>
        </w:rPr>
        <w:t xml:space="preserve">Wrote reusable Terraform modules, YAML pipeline templates, and PowerShell automation scripts to reduce manual effort and standardise deployments across teams.</w:t>
      </w:r>
    </w:p>
    <w:p>
      <w:pPr>
        <w:pStyle w:val="ListParagraph"/>
        <w:numPr>
          <w:ilvl w:val="0"/>
          <w:numId w:val="2"/>
        </w:numPr>
        <w:spacing w:after="55"/>
      </w:pPr>
      <w:r>
        <w:rPr>
          <w:rFonts w:ascii="Calibri" w:cs="Calibri" w:eastAsia="Calibri" w:hAnsi="Calibri"/>
          <w:sz w:val="20"/>
          <w:szCs w:val="20"/>
        </w:rPr>
        <w:t xml:space="preserve">Support Oracle database integration into CI/CD workflows — bringing database-side operational understanding into deployment pipelines for legacy application estates.</w:t>
      </w:r>
    </w:p>
    <w:p>
      <w:pPr>
        <w:pStyle w:val="ListParagraph"/>
        <w:numPr>
          <w:ilvl w:val="0"/>
          <w:numId w:val="2"/>
        </w:numPr>
        <w:spacing w:after="55"/>
      </w:pPr>
      <w:r>
        <w:rPr>
          <w:rFonts w:ascii="Calibri" w:cs="Calibri" w:eastAsia="Calibri" w:hAnsi="Calibri"/>
          <w:sz w:val="20"/>
          <w:szCs w:val="20"/>
        </w:rPr>
        <w:t xml:space="preserve">Collaborate with development, infrastructure, QA, and security teams within Agile ceremonies to improve release governance and delivery velocity.</w:t>
      </w:r>
    </w:p>
    <w:p>
      <w:pPr>
        <w:tabs>
          <w:tab w:val="right" w:pos="9700"/>
        </w:tabs>
        <w:spacing w:after="0" w:before="140"/>
      </w:pPr>
      <w:r>
        <w:rPr>
          <w:rFonts w:ascii="Calibri" w:cs="Calibri" w:eastAsia="Calibri" w:hAnsi="Calibri"/>
          <w:b/>
          <w:bCs/>
          <w:color w:val="1B5E6F"/>
          <w:sz w:val="21"/>
          <w:szCs w:val="21"/>
        </w:rPr>
        <w:t xml:space="preserve">Oracle Database Administrator</w:t>
      </w:r>
      <w:r>
        <w:rPr>
          <w:rFonts w:ascii="Calibri" w:cs="Calibri" w:eastAsia="Calibri" w:hAnsi="Calibri"/>
          <w:sz w:val="21"/>
          <w:szCs w:val="21"/>
        </w:rPr>
        <w:t xml:space="preserve">	</w:t>
      </w:r>
      <w:r>
        <w:rPr>
          <w:rFonts w:ascii="Calibri" w:cs="Calibri" w:eastAsia="Calibri" w:hAnsi="Calibri"/>
          <w:color w:val="555555"/>
          <w:sz w:val="19"/>
          <w:szCs w:val="19"/>
        </w:rPr>
        <w:t xml:space="preserve">Jan 2022 – Dec 2022</w:t>
      </w:r>
    </w:p>
    <w:p>
      <w:pPr>
        <w:spacing w:after="80"/>
      </w:pPr>
      <w:r>
        <w:rPr>
          <w:rFonts w:ascii="Calibri" w:cs="Calibri" w:eastAsia="Calibri" w:hAnsi="Calibri"/>
          <w:i/>
          <w:iCs/>
          <w:sz w:val="20"/>
          <w:szCs w:val="20"/>
        </w:rPr>
        <w:t xml:space="preserve">HCL Technologies</w:t>
      </w:r>
      <w:r>
        <w:rPr>
          <w:rFonts w:ascii="Calibri" w:cs="Calibri" w:eastAsia="Calibri" w:hAnsi="Calibri"/>
          <w:i/>
          <w:iCs/>
          <w:color w:val="555555"/>
          <w:sz w:val="20"/>
          <w:szCs w:val="20"/>
        </w:rPr>
        <w:t xml:space="preserve">   ·   India</w:t>
      </w:r>
    </w:p>
    <w:p>
      <w:pPr>
        <w:pStyle w:val="ListParagraph"/>
        <w:numPr>
          <w:ilvl w:val="0"/>
          <w:numId w:val="2"/>
        </w:numPr>
        <w:spacing w:after="55"/>
      </w:pPr>
      <w:r>
        <w:rPr>
          <w:rFonts w:ascii="Calibri" w:cs="Calibri" w:eastAsia="Calibri" w:hAnsi="Calibri"/>
          <w:sz w:val="20"/>
          <w:szCs w:val="20"/>
        </w:rPr>
        <w:t xml:space="preserve">Administered Oracle 11g, 12c, and 19c databases across Linux, AIX, Windows, and cloud environments — ensuring availability, performance, and security.</w:t>
      </w:r>
    </w:p>
    <w:p>
      <w:pPr>
        <w:pStyle w:val="ListParagraph"/>
        <w:numPr>
          <w:ilvl w:val="0"/>
          <w:numId w:val="2"/>
        </w:numPr>
        <w:spacing w:after="55"/>
      </w:pPr>
      <w:r>
        <w:rPr>
          <w:rFonts w:ascii="Calibri" w:cs="Calibri" w:eastAsia="Calibri" w:hAnsi="Calibri"/>
          <w:sz w:val="20"/>
          <w:szCs w:val="20"/>
        </w:rPr>
        <w:t xml:space="preserve">Performed backup and recovery using Oracle RMAN, Data Guard, ASM, and RAC for business continuity and disaster recovery readiness.</w:t>
      </w:r>
    </w:p>
    <w:p>
      <w:pPr>
        <w:pStyle w:val="ListParagraph"/>
        <w:numPr>
          <w:ilvl w:val="0"/>
          <w:numId w:val="2"/>
        </w:numPr>
        <w:spacing w:after="55"/>
      </w:pPr>
      <w:r>
        <w:rPr>
          <w:rFonts w:ascii="Calibri" w:cs="Calibri" w:eastAsia="Calibri" w:hAnsi="Calibri"/>
          <w:sz w:val="20"/>
          <w:szCs w:val="20"/>
        </w:rPr>
        <w:t xml:space="preserve">Monitored Oracle alert logs, identified performance bottlenecks, and resolved database incidents to maintain production stability.</w:t>
      </w:r>
    </w:p>
    <w:p>
      <w:pPr>
        <w:pStyle w:val="ListParagraph"/>
        <w:numPr>
          <w:ilvl w:val="0"/>
          <w:numId w:val="2"/>
        </w:numPr>
        <w:spacing w:after="55"/>
      </w:pPr>
      <w:r>
        <w:rPr>
          <w:rFonts w:ascii="Calibri" w:cs="Calibri" w:eastAsia="Calibri" w:hAnsi="Calibri"/>
          <w:sz w:val="20"/>
          <w:szCs w:val="20"/>
        </w:rPr>
        <w:t xml:space="preserve">Managed Oracle E-Business Suite (EBS) user administration, password management, access provisioning, and application validation.</w:t>
      </w:r>
    </w:p>
    <w:p>
      <w:pPr>
        <w:pStyle w:val="ListParagraph"/>
        <w:numPr>
          <w:ilvl w:val="0"/>
          <w:numId w:val="2"/>
        </w:numPr>
        <w:spacing w:after="55"/>
      </w:pPr>
      <w:r>
        <w:rPr>
          <w:rFonts w:ascii="Calibri" w:cs="Calibri" w:eastAsia="Calibri" w:hAnsi="Calibri"/>
          <w:sz w:val="20"/>
          <w:szCs w:val="20"/>
        </w:rPr>
        <w:t xml:space="preserve">Supported Oracle database migrations, version upgrades, patching, and tablespace management for enterprise applications.</w:t>
      </w:r>
    </w:p>
    <w:p>
      <w:pPr>
        <w:pStyle w:val="ListParagraph"/>
        <w:numPr>
          <w:ilvl w:val="0"/>
          <w:numId w:val="2"/>
        </w:numPr>
        <w:spacing w:after="55"/>
      </w:pPr>
      <w:r>
        <w:rPr>
          <w:rFonts w:ascii="Calibri" w:cs="Calibri" w:eastAsia="Calibri" w:hAnsi="Calibri"/>
          <w:sz w:val="20"/>
          <w:szCs w:val="20"/>
        </w:rPr>
        <w:t xml:space="preserve">Configured backup automation scripts and performed database health checks and capacity planning.</w:t>
      </w:r>
    </w:p>
    <w:p>
      <w:pPr>
        <w:pStyle w:val="ListParagraph"/>
        <w:numPr>
          <w:ilvl w:val="0"/>
          <w:numId w:val="2"/>
        </w:numPr>
        <w:spacing w:after="55"/>
      </w:pPr>
      <w:r>
        <w:rPr>
          <w:rFonts w:ascii="Calibri" w:cs="Calibri" w:eastAsia="Calibri" w:hAnsi="Calibri"/>
          <w:sz w:val="20"/>
          <w:szCs w:val="20"/>
        </w:rPr>
        <w:t xml:space="preserve">Provided 24×7 production support — troubleshooting database issues, resolving incidents, and coordinating with application teams to minimise downtime.</w:t>
      </w:r>
    </w:p>
    <w:p>
      <w:pPr>
        <w:pStyle w:val="ListParagraph"/>
        <w:numPr>
          <w:ilvl w:val="0"/>
          <w:numId w:val="2"/>
        </w:numPr>
        <w:spacing w:after="55"/>
      </w:pPr>
      <w:r>
        <w:rPr>
          <w:rFonts w:ascii="Calibri" w:cs="Calibri" w:eastAsia="Calibri" w:hAnsi="Calibri"/>
          <w:sz w:val="20"/>
          <w:szCs w:val="20"/>
        </w:rPr>
        <w:t xml:space="preserve">Supported IBM DB2 environments including availability checks, backup validation, and routine maintenance.</w:t>
      </w:r>
    </w:p>
    <w:p>
      <w:pPr>
        <w:pBdr>
          <w:bottom w:val="single" w:color="1B5E6F" w:sz="6" w:space="2"/>
        </w:pBdr>
        <w:spacing w:after="80" w:before="240"/>
      </w:pPr>
      <w:r>
        <w:rPr>
          <w:rFonts w:ascii="Calibri" w:cs="Calibri" w:eastAsia="Calibri" w:hAnsi="Calibri"/>
          <w:b/>
          <w:bCs/>
          <w:color w:val="1B5E6F"/>
          <w:sz w:val="23"/>
          <w:szCs w:val="23"/>
        </w:rPr>
        <w:t xml:space="preserve">Education</w:t>
      </w:r>
    </w:p>
    <w:p>
      <w:pPr>
        <w:spacing w:after="20"/>
      </w:pPr>
      <w:r>
        <w:rPr>
          <w:rFonts w:ascii="Calibri" w:cs="Calibri" w:eastAsia="Calibri" w:hAnsi="Calibri"/>
          <w:b/>
          <w:bCs/>
          <w:i w:val="false"/>
          <w:iCs w:val="false"/>
          <w:color w:val="1F1F1F"/>
          <w:sz w:val="21"/>
          <w:szCs w:val="21"/>
        </w:rPr>
        <w:t xml:space="preserve">Bachelor of Technology – Computer Science &amp; Engineering</w:t>
      </w:r>
    </w:p>
    <w:p>
      <w:pPr>
        <w:spacing w:after="100"/>
        <w:jc w:val="left"/>
      </w:pPr>
      <w:r>
        <w:rPr>
          <w:rFonts w:ascii="Calibri" w:cs="Calibri" w:eastAsia="Calibri" w:hAnsi="Calibri"/>
          <w:b w:val="false"/>
          <w:bCs w:val="false"/>
          <w:i/>
          <w:iCs/>
          <w:sz w:val="19"/>
          <w:szCs w:val="19"/>
        </w:rPr>
        <w:t xml:space="preserve">Loyola Institute of Technology and Management  ·  [Graduation Year]</w:t>
      </w:r>
    </w:p>
    <w:p>
      <w:pPr>
        <w:pBdr>
          <w:bottom w:val="single" w:color="1B5E6F" w:sz="6" w:space="2"/>
        </w:pBdr>
        <w:spacing w:after="80" w:before="240"/>
      </w:pPr>
      <w:r>
        <w:rPr>
          <w:rFonts w:ascii="Calibri" w:cs="Calibri" w:eastAsia="Calibri" w:hAnsi="Calibri"/>
          <w:b/>
          <w:bCs/>
          <w:color w:val="1B5E6F"/>
          <w:sz w:val="23"/>
          <w:szCs w:val="23"/>
        </w:rPr>
        <w:t xml:space="preserve">Certifications</w:t>
      </w:r>
    </w:p>
    <w:p>
      <w:pPr>
        <w:spacing w:after="0"/>
        <w:jc w:val="left"/>
      </w:pPr>
      <w:r>
        <w:rPr>
          <w:rFonts w:ascii="Calibri" w:cs="Calibri" w:eastAsia="Calibri" w:hAnsi="Calibri"/>
          <w:b w:val="false"/>
          <w:bCs w:val="false"/>
          <w:i/>
          <w:iCs/>
          <w:sz w:val="19"/>
          <w:szCs w:val="19"/>
        </w:rPr>
        <w:t xml:space="preserve">Recommended next: Microsoft Certified: Azure Administrator Associate (AZ-104) and Azure DevOps Engineer Expert (AZ-400) — natural next steps for current work.</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2026-07-06T16:55:40.741Z</dcterms:created>
  <dcterms:modified xsi:type="dcterms:W3CDTF">2026-07-06T16:55:40.754Z</dcterms:modified>
</cp:coreProperties>
</file>

<file path=docProps/custom.xml><?xml version="1.0" encoding="utf-8"?>
<Properties xmlns="http://schemas.openxmlformats.org/officeDocument/2006/custom-properties" xmlns:vt="http://schemas.openxmlformats.org/officeDocument/2006/docPropsVTypes"/>
</file>