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commentRangeStart w:id="0"/>
      <w:r w:rsidDel="00000000" w:rsidR="00000000" w:rsidRPr="00000000">
        <w:rPr>
          <w:rFonts w:ascii="Google Sans" w:cs="Google Sans" w:eastAsia="Google Sans" w:hAnsi="Google Sans"/>
          <w:color w:val="1f1f1f"/>
          <w:rtl w:val="0"/>
        </w:rPr>
        <w:t xml:space="preserve">Software</w:t>
      </w:r>
      <w:commentRangeEnd w:id="0"/>
      <w:r w:rsidDel="00000000" w:rsidR="00000000" w:rsidRPr="00000000">
        <w:commentReference w:id="0"/>
      </w:r>
      <w:r w:rsidDel="00000000" w:rsidR="00000000" w:rsidRPr="00000000">
        <w:rPr>
          <w:rFonts w:ascii="Google Sans" w:cs="Google Sans" w:eastAsia="Google Sans" w:hAnsi="Google Sans"/>
          <w:color w:val="1f1f1f"/>
          <w:rtl w:val="0"/>
        </w:rPr>
        <w:t xml:space="preserve"> Requirements Specification (SRS)</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AI-Powered ISO 21434 Regional Process Comparison Tool</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Document Version:</w:t>
      </w:r>
      <w:r w:rsidDel="00000000" w:rsidR="00000000" w:rsidRPr="00000000">
        <w:rPr>
          <w:rFonts w:ascii="Google Sans" w:cs="Google Sans" w:eastAsia="Google Sans" w:hAnsi="Google Sans"/>
          <w:color w:val="1f1f1f"/>
          <w:rtl w:val="0"/>
        </w:rPr>
        <w:t xml:space="preserve"> 1.1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Date:</w:t>
      </w:r>
      <w:r w:rsidDel="00000000" w:rsidR="00000000" w:rsidRPr="00000000">
        <w:rPr>
          <w:rFonts w:ascii="Google Sans" w:cs="Google Sans" w:eastAsia="Google Sans" w:hAnsi="Google Sans"/>
          <w:color w:val="1f1f1f"/>
          <w:rtl w:val="0"/>
        </w:rPr>
        <w:t xml:space="preserve"> June 2026</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Subject:</w:t>
      </w:r>
      <w:r w:rsidDel="00000000" w:rsidR="00000000" w:rsidRPr="00000000">
        <w:rPr>
          <w:rFonts w:ascii="Google Sans" w:cs="Google Sans" w:eastAsia="Google Sans" w:hAnsi="Google Sans"/>
          <w:color w:val="1f1f1f"/>
          <w:rtl w:val="0"/>
        </w:rPr>
        <w:t xml:space="preserve"> Application for comparing automotive cybersecurity processes (Japan vs. Europe) against ISO/SAE 21434, featuring automated JP-to-EN translation.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Project Overview</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objective is to develop an enterprise-grade, AI-driven software application that ingests, translates, and compares automotive cybersecurity organizational processes and project-level documents (specifically from Japan and Europe) against the </w:t>
      </w:r>
      <w:r w:rsidDel="00000000" w:rsidR="00000000" w:rsidRPr="00000000">
        <w:rPr>
          <w:rFonts w:ascii="Google Sans" w:cs="Google Sans" w:eastAsia="Google Sans" w:hAnsi="Google Sans"/>
          <w:b w:val="1"/>
          <w:bCs w:val="1"/>
          <w:color w:val="1f1f1f"/>
          <w:rtl w:val="0"/>
        </w:rPr>
        <w:t xml:space="preserve">ISO/SAE 21434</w:t>
      </w:r>
      <w:r w:rsidDel="00000000" w:rsidR="00000000" w:rsidRPr="00000000">
        <w:rPr>
          <w:rFonts w:ascii="Google Sans" w:cs="Google Sans" w:eastAsia="Google Sans" w:hAnsi="Google Sans"/>
          <w:color w:val="1f1f1f"/>
          <w:rtl w:val="0"/>
        </w:rPr>
        <w:t xml:space="preserve"> standard. The system will highlight regional compliance gaps, alignment, and process variations, providing automated domain-accurate translation from Japanese to English.</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Functional Requirements (FRs) - Core Application</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Data Ingestion &amp; Document Management</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FR-1.1: Multi-Format Support:</w:t>
      </w:r>
      <w:r w:rsidDel="00000000" w:rsidR="00000000" w:rsidRPr="00000000">
        <w:rPr>
          <w:rFonts w:ascii="Google Sans" w:cs="Google Sans" w:eastAsia="Google Sans" w:hAnsi="Google Sans"/>
          <w:color w:val="1f1f1f"/>
          <w:rtl w:val="0"/>
        </w:rPr>
        <w:t xml:space="preserve"> The system must accept documents in PDF, DOCX, XLSX, and scanned images (via OCR).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FR-1.2: Regional Tagging:</w:t>
      </w:r>
      <w:r w:rsidDel="00000000" w:rsidR="00000000" w:rsidRPr="00000000">
        <w:rPr>
          <w:rFonts w:ascii="Google Sans" w:cs="Google Sans" w:eastAsia="Google Sans" w:hAnsi="Google Sans"/>
          <w:color w:val="1f1f1f"/>
          <w:rtl w:val="0"/>
        </w:rPr>
        <w:t xml:space="preserve"> Users must be able to upload documents and tag them by region of origin (</w:t>
      </w:r>
      <w:r w:rsidDel="00000000" w:rsidR="00000000" w:rsidRPr="00000000">
        <w:rPr>
          <w:rFonts w:ascii="Google Sans" w:cs="Google Sans" w:eastAsia="Google Sans" w:hAnsi="Google Sans"/>
          <w:b w:val="1"/>
          <w:bCs w:val="1"/>
          <w:color w:val="1f1f1f"/>
          <w:rtl w:val="0"/>
        </w:rPr>
        <w:t xml:space="preserve">Japan (J-ASRG / METI guidelines)</w:t>
      </w:r>
      <w:r w:rsidDel="00000000" w:rsidR="00000000" w:rsidRPr="00000000">
        <w:rPr>
          <w:rFonts w:ascii="Google Sans" w:cs="Google Sans" w:eastAsia="Google Sans" w:hAnsi="Google Sans"/>
          <w:color w:val="1f1f1f"/>
          <w:rtl w:val="0"/>
        </w:rPr>
        <w:t xml:space="preserve"> vs. </w:t>
      </w:r>
      <w:r w:rsidDel="00000000" w:rsidR="00000000" w:rsidRPr="00000000">
        <w:rPr>
          <w:rFonts w:ascii="Google Sans" w:cs="Google Sans" w:eastAsia="Google Sans" w:hAnsi="Google Sans"/>
          <w:b w:val="1"/>
          <w:bCs w:val="1"/>
          <w:color w:val="1f1f1f"/>
          <w:rtl w:val="0"/>
        </w:rPr>
        <w:t xml:space="preserve">Europe (UN R155 / ENISA guidelines)</w:t>
      </w:r>
      <w:r w:rsidDel="00000000" w:rsidR="00000000" w:rsidRPr="00000000">
        <w:rPr>
          <w:rFonts w:ascii="Google Sans" w:cs="Google Sans" w:eastAsia="Google Sans" w:hAnsi="Google Sans"/>
          <w:color w:val="1f1f1f"/>
          <w:rtl w:val="0"/>
        </w:rPr>
        <w:t xml:space="preserve">) and specific ISO 21434 clauses (e.g., Clause 5: Organizational Cyber Security Management, Clause 15: Distributed Cyber Security Activities).</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FR-1.3: Secure Storage:</w:t>
      </w:r>
      <w:r w:rsidDel="00000000" w:rsidR="00000000" w:rsidRPr="00000000">
        <w:rPr>
          <w:rFonts w:ascii="Google Sans" w:cs="Google Sans" w:eastAsia="Google Sans" w:hAnsi="Google Sans"/>
          <w:color w:val="1f1f1f"/>
          <w:rtl w:val="0"/>
        </w:rPr>
        <w:t xml:space="preserve"> Ingested documents must be encrypted at rest and classified by organizational confidentiality levels.</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AI-Powered Translation Engine (Japanese to English)</w:t>
      </w:r>
    </w:p>
    <w:p w:rsidR="00000000" w:rsidDel="00000000" w:rsidP="00000000" w:rsidRDefault="00000000" w:rsidRPr="00000000" w14:paraId="0000000E">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FR-2.1: Domain-Specific OCR &amp; Translation:</w:t>
      </w:r>
      <w:r w:rsidDel="00000000" w:rsidR="00000000" w:rsidRPr="00000000">
        <w:rPr>
          <w:rFonts w:ascii="Google Sans" w:cs="Google Sans" w:eastAsia="Google Sans" w:hAnsi="Google Sans"/>
          <w:color w:val="1f1f1f"/>
          <w:rtl w:val="0"/>
        </w:rPr>
        <w:t xml:space="preserve"> The AI translation model must be fine-tuned on automotive and cybersecurity terminology (e.g., accurately translating </w:t>
      </w:r>
      <w:r w:rsidDel="00000000" w:rsidR="00000000" w:rsidRPr="00000000">
        <w:rPr>
          <w:rFonts w:ascii="Google Sans" w:cs="Google Sans" w:eastAsia="Google Sans" w:hAnsi="Google Sans"/>
          <w:i w:val="1"/>
          <w:iCs w:val="1"/>
          <w:color w:val="1f1f1f"/>
          <w:rtl w:val="0"/>
        </w:rPr>
        <w:t xml:space="preserve">Threat Analysis and Risk Assessment</w:t>
      </w:r>
      <w:r w:rsidDel="00000000" w:rsidR="00000000" w:rsidRPr="00000000">
        <w:rPr>
          <w:rFonts w:ascii="Google Sans" w:cs="Google Sans" w:eastAsia="Google Sans" w:hAnsi="Google Sans"/>
          <w:color w:val="1f1f1f"/>
          <w:rtl w:val="0"/>
        </w:rPr>
        <w:t xml:space="preserve"> instead of literal text, handling terms like "TARAs", "Vulnerabilities", "ASIL").</w:t>
      </w:r>
    </w:p>
    <w:p w:rsidR="00000000" w:rsidDel="00000000" w:rsidP="00000000" w:rsidRDefault="00000000" w:rsidRPr="00000000" w14:paraId="0000000F">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FR-2.2: Dual-Language View:</w:t>
      </w:r>
      <w:r w:rsidDel="00000000" w:rsidR="00000000" w:rsidRPr="00000000">
        <w:rPr>
          <w:rFonts w:ascii="Google Sans" w:cs="Google Sans" w:eastAsia="Google Sans" w:hAnsi="Google Sans"/>
          <w:color w:val="1f1f1f"/>
          <w:rtl w:val="0"/>
        </w:rPr>
        <w:t xml:space="preserve"> The user interface must provide a side-by-side or overlay view showing the original Japanese text and the AI-translated English text.</w:t>
      </w:r>
    </w:p>
    <w:p w:rsidR="00000000" w:rsidDel="00000000" w:rsidP="00000000" w:rsidRDefault="00000000" w:rsidRPr="00000000" w14:paraId="00000010">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FR-2.3: Manual Override / Post-Editing:</w:t>
      </w:r>
      <w:r w:rsidDel="00000000" w:rsidR="00000000" w:rsidRPr="00000000">
        <w:rPr>
          <w:rFonts w:ascii="Google Sans" w:cs="Google Sans" w:eastAsia="Google Sans" w:hAnsi="Google Sans"/>
          <w:color w:val="1f1f1f"/>
          <w:rtl w:val="0"/>
        </w:rPr>
        <w:t xml:space="preserve"> Authorized users (e.g., bilingual auditors) must have the ability to manually correct AI-translated terms, which will train a local glossary/cache to improve future translations.</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ISO 21434 Gap Analysis &amp; Comparison Engine</w:t>
      </w:r>
    </w:p>
    <w:p w:rsidR="00000000" w:rsidDel="00000000" w:rsidP="00000000" w:rsidRDefault="00000000" w:rsidRPr="00000000" w14:paraId="00000012">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FR-3.1: Semantic Document Mapping:</w:t>
      </w:r>
      <w:r w:rsidDel="00000000" w:rsidR="00000000" w:rsidRPr="00000000">
        <w:rPr>
          <w:rFonts w:ascii="Google Sans" w:cs="Google Sans" w:eastAsia="Google Sans" w:hAnsi="Google Sans"/>
          <w:color w:val="1f1f1f"/>
          <w:rtl w:val="0"/>
        </w:rPr>
        <w:t xml:space="preserve"> The AI engine (using Large Language Models/RAG architecture) must map translated Japanese processes and European processes to specific paragraphs of the ISO 21434 standard.</w:t>
      </w:r>
    </w:p>
    <w:p w:rsidR="00000000" w:rsidDel="00000000" w:rsidP="00000000" w:rsidRDefault="00000000" w:rsidRPr="00000000" w14:paraId="00000013">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FR-3.2: Automated Cross-Regional Comparison:</w:t>
      </w:r>
      <w:r w:rsidDel="00000000" w:rsidR="00000000" w:rsidRPr="00000000">
        <w:rPr>
          <w:rFonts w:ascii="Google Sans" w:cs="Google Sans" w:eastAsia="Google Sans" w:hAnsi="Google Sans"/>
          <w:color w:val="1f1f1f"/>
          <w:rtl w:val="0"/>
        </w:rPr>
        <w:t xml:space="preserve"> The system must evaluate how a Japanese process fulfills an ISO requirement versus how a European process fulfills it, identifying:</w:t>
      </w:r>
    </w:p>
    <w:p w:rsidR="00000000" w:rsidDel="00000000" w:rsidP="00000000" w:rsidRDefault="00000000" w:rsidRPr="00000000" w14:paraId="0000001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Alignment:</w:t>
      </w:r>
      <w:r w:rsidDel="00000000" w:rsidR="00000000" w:rsidRPr="00000000">
        <w:rPr>
          <w:rFonts w:ascii="Google Sans" w:cs="Google Sans" w:eastAsia="Google Sans" w:hAnsi="Google Sans"/>
          <w:color w:val="1f1f1f"/>
          <w:rtl w:val="0"/>
        </w:rPr>
        <w:t xml:space="preserve"> Where processes overlap or match exactly.</w:t>
      </w:r>
    </w:p>
    <w:p w:rsidR="00000000" w:rsidDel="00000000" w:rsidP="00000000" w:rsidRDefault="00000000" w:rsidRPr="00000000" w14:paraId="0000001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Gaps:</w:t>
      </w:r>
      <w:r w:rsidDel="00000000" w:rsidR="00000000" w:rsidRPr="00000000">
        <w:rPr>
          <w:rFonts w:ascii="Google Sans" w:cs="Google Sans" w:eastAsia="Google Sans" w:hAnsi="Google Sans"/>
          <w:color w:val="1f1f1f"/>
          <w:rtl w:val="0"/>
        </w:rPr>
        <w:t xml:space="preserve"> Missing cybersecurity controls or artifacts required by ISO 21434 in either region.</w:t>
      </w:r>
    </w:p>
    <w:p w:rsidR="00000000" w:rsidDel="00000000" w:rsidP="00000000" w:rsidRDefault="00000000" w:rsidRPr="00000000" w14:paraId="00000016">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w:cs="Google Sans" w:eastAsia="Google Sans" w:hAnsi="Google Sans"/>
          <w:b w:val="1"/>
          <w:bCs w:val="1"/>
          <w:color w:val="1f1f1f"/>
          <w:rtl w:val="0"/>
        </w:rPr>
        <w:t xml:space="preserve">Conflicts:</w:t>
      </w:r>
      <w:r w:rsidDel="00000000" w:rsidR="00000000" w:rsidRPr="00000000">
        <w:rPr>
          <w:rFonts w:ascii="Google Sans" w:cs="Google Sans" w:eastAsia="Google Sans" w:hAnsi="Google Sans"/>
          <w:color w:val="1f1f1f"/>
          <w:rtl w:val="0"/>
        </w:rPr>
        <w:t xml:space="preserve"> Contradictory requirements stemming from local regulations (e.g., Japan’s JASO standards vs. Europe’s UN R155 compliance artifacts).</w:t>
      </w:r>
    </w:p>
    <w:p w:rsidR="00000000" w:rsidDel="00000000" w:rsidP="00000000" w:rsidRDefault="00000000" w:rsidRPr="00000000" w14:paraId="00000017">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FR-3.3: Citation and Grounding:</w:t>
      </w:r>
      <w:r w:rsidDel="00000000" w:rsidR="00000000" w:rsidRPr="00000000">
        <w:rPr>
          <w:rFonts w:ascii="Google Sans" w:cs="Google Sans" w:eastAsia="Google Sans" w:hAnsi="Google Sans"/>
          <w:color w:val="1f1f1f"/>
          <w:rtl w:val="0"/>
        </w:rPr>
        <w:t xml:space="preserve"> Every AI-generated comparison or gap analysis must provide exact text citations from both the source documents and the ISO 21434 standard to eliminate hallucinations.</w:t>
      </w:r>
    </w:p>
    <w:p w:rsidR="00000000" w:rsidDel="00000000" w:rsidP="00000000" w:rsidRDefault="00000000" w:rsidRPr="00000000" w14:paraId="00000018">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2.4 User Interface &amp; Reporting</w:t>
      </w:r>
    </w:p>
    <w:p w:rsidR="00000000" w:rsidDel="00000000" w:rsidP="00000000" w:rsidRDefault="00000000" w:rsidRPr="00000000" w14:paraId="0000001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FR-4.1: Comparison Dashboard:</w:t>
      </w:r>
      <w:r w:rsidDel="00000000" w:rsidR="00000000" w:rsidRPr="00000000">
        <w:rPr>
          <w:rFonts w:ascii="Google Sans" w:cs="Google Sans" w:eastAsia="Google Sans" w:hAnsi="Google Sans"/>
          <w:color w:val="1f1f1f"/>
          <w:rtl w:val="0"/>
        </w:rPr>
        <w:t xml:space="preserve"> A visual dashboard featuring a compliance matrix (Heatmap/Table) comparing Japan and Europe clause-by-clause against ISO 21434.</w:t>
      </w:r>
    </w:p>
    <w:p w:rsidR="00000000" w:rsidDel="00000000" w:rsidP="00000000" w:rsidRDefault="00000000" w:rsidRPr="00000000" w14:paraId="0000001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FR-4.2: Interactive Chat/Query:</w:t>
      </w:r>
      <w:r w:rsidDel="00000000" w:rsidR="00000000" w:rsidRPr="00000000">
        <w:rPr>
          <w:rFonts w:ascii="Google Sans" w:cs="Google Sans" w:eastAsia="Google Sans" w:hAnsi="Google Sans"/>
          <w:color w:val="1f1f1f"/>
          <w:rtl w:val="0"/>
        </w:rPr>
        <w:t xml:space="preserve"> A Retrieval-Augmented Generation (RAG) chatbot allowing users to ask natural language questions (e.g., </w:t>
      </w:r>
      <w:r w:rsidDel="00000000" w:rsidR="00000000" w:rsidRPr="00000000">
        <w:rPr>
          <w:rFonts w:ascii="Google Sans" w:cs="Google Sans" w:eastAsia="Google Sans" w:hAnsi="Google Sans"/>
          <w:i w:val="1"/>
          <w:iCs w:val="1"/>
          <w:color w:val="1f1f1f"/>
          <w:rtl w:val="0"/>
        </w:rPr>
        <w:t xml:space="preserve">"How do Japanese incident response timelines differ from European requirements under Clause 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FR-4.3: Export Capabilities:</w:t>
      </w:r>
      <w:r w:rsidDel="00000000" w:rsidR="00000000" w:rsidRPr="00000000">
        <w:rPr>
          <w:rFonts w:ascii="Google Sans" w:cs="Google Sans" w:eastAsia="Google Sans" w:hAnsi="Google Sans"/>
          <w:color w:val="1f1f1f"/>
          <w:rtl w:val="0"/>
        </w:rPr>
        <w:t xml:space="preserve"> Ability to export comparison audits and gap analysis reports into PDF, Excel, or Word formats.</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Deployment Requirements: On-Premise Solution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87.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Given the highly sensitive nature of automotive cybersecurity architectures and corporate processes, the application must support a fully air-gapped, on-premise deployment model.</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Infrastructure &amp; Hosting</w:t>
      </w:r>
    </w:p>
    <w:p w:rsidR="00000000" w:rsidDel="00000000" w:rsidP="00000000" w:rsidRDefault="00000000" w:rsidRPr="00000000" w14:paraId="0000001F">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OPR-1.1: Standalone Environment:</w:t>
      </w:r>
      <w:r w:rsidDel="00000000" w:rsidR="00000000" w:rsidRPr="00000000">
        <w:rPr>
          <w:rFonts w:ascii="Google Sans" w:cs="Google Sans" w:eastAsia="Google Sans" w:hAnsi="Google Sans"/>
          <w:color w:val="1f1f1f"/>
          <w:rtl w:val="0"/>
        </w:rPr>
        <w:t xml:space="preserve"> The entire application (Frontend, Backend, Database, and AI Models) must be capable of running on local enterprise servers without requiring an external internet connection.</w:t>
      </w:r>
    </w:p>
    <w:p w:rsidR="00000000" w:rsidDel="00000000" w:rsidP="00000000" w:rsidRDefault="00000000" w:rsidRPr="00000000" w14:paraId="00000020">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OPR-1.2: Containerization:</w:t>
      </w:r>
      <w:r w:rsidDel="00000000" w:rsidR="00000000" w:rsidRPr="00000000">
        <w:rPr>
          <w:rFonts w:ascii="Google Sans" w:cs="Google Sans" w:eastAsia="Google Sans" w:hAnsi="Google Sans"/>
          <w:color w:val="1f1f1f"/>
          <w:rtl w:val="0"/>
        </w:rPr>
        <w:t xml:space="preserve"> The solution must be delivered as a set of Docker containers orchestrated via Kubernetes (or Docker Compose for smaller instances) to ensure consistent deployment across varied customer hardware.</w:t>
      </w:r>
    </w:p>
    <w:p w:rsidR="00000000" w:rsidDel="00000000" w:rsidP="00000000" w:rsidRDefault="00000000" w:rsidRPr="00000000" w14:paraId="00000021">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OPR-1.3: Hardware Requirements Specification:</w:t>
      </w:r>
      <w:r w:rsidDel="00000000" w:rsidR="00000000" w:rsidRPr="00000000">
        <w:rPr>
          <w:rFonts w:ascii="Google Sans" w:cs="Google Sans" w:eastAsia="Google Sans" w:hAnsi="Google Sans"/>
          <w:color w:val="1f1f1f"/>
          <w:rtl w:val="0"/>
        </w:rPr>
        <w:t xml:space="preserve"> The vendor must provide clear minimum hardware specifications (CPU, RAM, Storage, and crucially, GPU requirements for local LLM inference) based on expected user load and document volume.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Local AI Models &amp; Inference</w:t>
      </w:r>
    </w:p>
    <w:p w:rsidR="00000000" w:rsidDel="00000000" w:rsidP="00000000" w:rsidRDefault="00000000" w:rsidRPr="00000000" w14:paraId="0000002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OPR-2.1: Open-Weight/Locally Hosted LLMs:</w:t>
      </w:r>
      <w:r w:rsidDel="00000000" w:rsidR="00000000" w:rsidRPr="00000000">
        <w:rPr>
          <w:rFonts w:ascii="Google Sans" w:cs="Google Sans" w:eastAsia="Google Sans" w:hAnsi="Google Sans"/>
          <w:color w:val="1f1f1f"/>
          <w:rtl w:val="0"/>
        </w:rPr>
        <w:t xml:space="preserve"> The system must utilize commercially permissible open-weight models (e.g., Llama 3, Mixtral, Qwen) or proprietary models licensed for local deployment, replacing any reliance on cloud APIs (like OpenAI or Azure).</w:t>
      </w:r>
    </w:p>
    <w:p w:rsidR="00000000" w:rsidDel="00000000" w:rsidP="00000000" w:rsidRDefault="00000000" w:rsidRPr="00000000" w14:paraId="0000002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OPR-2.2: Local OCR &amp; Translation:</w:t>
      </w:r>
      <w:r w:rsidDel="00000000" w:rsidR="00000000" w:rsidRPr="00000000">
        <w:rPr>
          <w:rFonts w:ascii="Google Sans" w:cs="Google Sans" w:eastAsia="Google Sans" w:hAnsi="Google Sans"/>
          <w:color w:val="1f1f1f"/>
          <w:rtl w:val="0"/>
        </w:rPr>
        <w:t xml:space="preserve"> Translation and OCR capabilities must be executed entirely on local compute resources (e.g., utilizing localized instances of models like MarianMT, NLLB, or custom-trained local models).</w:t>
      </w:r>
    </w:p>
    <w:p w:rsidR="00000000" w:rsidDel="00000000" w:rsidP="00000000" w:rsidRDefault="00000000" w:rsidRPr="00000000" w14:paraId="0000002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OPR-2.3: On-Device RAG:</w:t>
      </w:r>
      <w:r w:rsidDel="00000000" w:rsidR="00000000" w:rsidRPr="00000000">
        <w:rPr>
          <w:rFonts w:ascii="Google Sans" w:cs="Google Sans" w:eastAsia="Google Sans" w:hAnsi="Google Sans"/>
          <w:color w:val="1f1f1f"/>
          <w:rtl w:val="0"/>
        </w:rPr>
        <w:t xml:space="preserve"> The Retrieval-Augmented Generation pipeline, including the embedding models and vector database, must operate fully within the local network boundary.</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Security, Updates &amp; Maintenance</w:t>
      </w:r>
    </w:p>
    <w:p w:rsidR="00000000" w:rsidDel="00000000" w:rsidP="00000000" w:rsidRDefault="00000000" w:rsidRPr="00000000" w14:paraId="0000002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OPR-3.1: Offline Model Updates:</w:t>
      </w:r>
      <w:r w:rsidDel="00000000" w:rsidR="00000000" w:rsidRPr="00000000">
        <w:rPr>
          <w:rFonts w:ascii="Google Sans" w:cs="Google Sans" w:eastAsia="Google Sans" w:hAnsi="Google Sans"/>
          <w:color w:val="1f1f1f"/>
          <w:rtl w:val="0"/>
        </w:rPr>
        <w:t xml:space="preserve"> The system must support manual, secure updates for the AI models, translation glossaries, and software patches via physical media or secure internal transfer mechanisms, avoiding direct internet downloads.</w:t>
      </w:r>
    </w:p>
    <w:p w:rsidR="00000000" w:rsidDel="00000000" w:rsidP="00000000" w:rsidRDefault="00000000" w:rsidRPr="00000000" w14:paraId="0000002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OPR-3.2: Air-Gapped Licensing:</w:t>
      </w:r>
      <w:r w:rsidDel="00000000" w:rsidR="00000000" w:rsidRPr="00000000">
        <w:rPr>
          <w:rFonts w:ascii="Google Sans" w:cs="Google Sans" w:eastAsia="Google Sans" w:hAnsi="Google Sans"/>
          <w:color w:val="1f1f1f"/>
          <w:rtl w:val="0"/>
        </w:rPr>
        <w:t xml:space="preserve"> Any software licensing mechanisms must not "phone home" to external servers. Licensing must be verified via offline keys or local network license servers.</w:t>
      </w:r>
    </w:p>
    <w:p w:rsidR="00000000" w:rsidDel="00000000" w:rsidP="00000000" w:rsidRDefault="00000000" w:rsidRPr="00000000" w14:paraId="0000002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OPR-3.3: Local Auditing &amp; Logging:</w:t>
      </w:r>
      <w:r w:rsidDel="00000000" w:rsidR="00000000" w:rsidRPr="00000000">
        <w:rPr>
          <w:rFonts w:ascii="Google Sans" w:cs="Google Sans" w:eastAsia="Google Sans" w:hAnsi="Google Sans"/>
          <w:color w:val="1f1f1f"/>
          <w:rtl w:val="0"/>
        </w:rPr>
        <w:t xml:space="preserve"> Comprehensive application and security logs must be stored locally on the host servers and integrated with the customer's existing internal SIEM (Security Information and Event Management) tools.</w:t>
      </w:r>
    </w:p>
    <w:p w:rsidR="00000000" w:rsidDel="00000000" w:rsidP="00000000" w:rsidRDefault="00000000" w:rsidRPr="00000000" w14:paraId="0000002A">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Non-Functional Requirements (NFRs)</w:t>
      </w:r>
    </w:p>
    <w:p w:rsidR="00000000" w:rsidDel="00000000" w:rsidP="00000000" w:rsidRDefault="00000000" w:rsidRPr="00000000" w14:paraId="0000002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Security &amp; Compliance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Requirement ID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Specification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NFR-1.1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Isolation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(Cloud Context) The AI model must run in a secure, tenant-isolated private cloud. (On-Prem Context) All data remains within the physical security perimeter of the deploying organization.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NFR-1.2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Encryption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All data must be encrypted using AES-256 at rest and TLS 1.3 in transit (even on internal networks).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NFR-1.3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Access Control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Implement Role-Based Access Control (RBAC) supporting roles like Auditor, Translator, and Read-Only Viewer, integrated with on-premise Active Directory/LDAP.</w:t>
            </w:r>
          </w:p>
        </w:tc>
      </w:tr>
    </w:tbl>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Performance &amp; Scalability (On-Premise Considerations)</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NFR-2.1: Local Translation Latency:</w:t>
      </w:r>
      <w:r w:rsidDel="00000000" w:rsidR="00000000" w:rsidRPr="00000000">
        <w:rPr>
          <w:rFonts w:ascii="Google Sans" w:cs="Google Sans" w:eastAsia="Google Sans" w:hAnsi="Google Sans"/>
          <w:color w:val="1f1f1f"/>
          <w:rtl w:val="0"/>
        </w:rPr>
        <w:t xml:space="preserve"> Translation of a standard 50-page Japanese document into English must be completed in under 5 minutes (adjusted for local compute variability).</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NFR-2.2: Local Analysis Time:</w:t>
      </w:r>
      <w:r w:rsidDel="00000000" w:rsidR="00000000" w:rsidRPr="00000000">
        <w:rPr>
          <w:rFonts w:ascii="Google Sans" w:cs="Google Sans" w:eastAsia="Google Sans" w:hAnsi="Google Sans"/>
          <w:color w:val="1f1f1f"/>
          <w:rtl w:val="0"/>
        </w:rPr>
        <w:t xml:space="preserve"> Gap analysis across multiple files must take less than 10 minutes locally.</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NFR-2.3: Hardware Utilization:</w:t>
      </w:r>
      <w:r w:rsidDel="00000000" w:rsidR="00000000" w:rsidRPr="00000000">
        <w:rPr>
          <w:rFonts w:ascii="Google Sans" w:cs="Google Sans" w:eastAsia="Google Sans" w:hAnsi="Google Sans"/>
          <w:color w:val="1f1f1f"/>
          <w:rtl w:val="0"/>
        </w:rPr>
        <w:t xml:space="preserve"> The application must efficiently manage GPU VRAM and provide graceful degradation of speed (not failure) if local hardware resources are heavily taxed.</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Accuracy &amp; AI Guardrails</w:t>
      </w:r>
    </w:p>
    <w:p w:rsidR="00000000" w:rsidDel="00000000" w:rsidP="00000000" w:rsidRDefault="00000000" w:rsidRPr="00000000" w14:paraId="0000003D">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NFR-3.1: Translation Precision:</w:t>
      </w:r>
      <w:r w:rsidDel="00000000" w:rsidR="00000000" w:rsidRPr="00000000">
        <w:rPr>
          <w:rFonts w:ascii="Google Sans" w:cs="Google Sans" w:eastAsia="Google Sans" w:hAnsi="Google Sans"/>
          <w:color w:val="1f1f1f"/>
          <w:rtl w:val="0"/>
        </w:rPr>
        <w:t xml:space="preserve"> The local translation engine must achieve a minimum BLEU score of 0.45 or a human-evaluated accuracy rate of 95%+ on domain-specific terminology.</w:t>
      </w:r>
    </w:p>
    <w:p w:rsidR="00000000" w:rsidDel="00000000" w:rsidP="00000000" w:rsidRDefault="00000000" w:rsidRPr="00000000" w14:paraId="0000003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NFR-3.2: Hallucination Mitigation:</w:t>
      </w:r>
      <w:r w:rsidDel="00000000" w:rsidR="00000000" w:rsidRPr="00000000">
        <w:rPr>
          <w:rFonts w:ascii="Google Sans" w:cs="Google Sans" w:eastAsia="Google Sans" w:hAnsi="Google Sans"/>
          <w:color w:val="1f1f1f"/>
          <w:rtl w:val="0"/>
        </w:rPr>
        <w:t xml:space="preserve"> The comparison AI must rely </w:t>
      </w:r>
      <w:r w:rsidDel="00000000" w:rsidR="00000000" w:rsidRPr="00000000">
        <w:rPr>
          <w:rFonts w:ascii="Google Sans" w:cs="Google Sans" w:eastAsia="Google Sans" w:hAnsi="Google Sans"/>
          <w:i w:val="1"/>
          <w:iCs w:val="1"/>
          <w:color w:val="1f1f1f"/>
          <w:rtl w:val="0"/>
        </w:rPr>
        <w:t xml:space="preserve">strictly</w:t>
      </w:r>
      <w:r w:rsidDel="00000000" w:rsidR="00000000" w:rsidRPr="00000000">
        <w:rPr>
          <w:rFonts w:ascii="Google Sans" w:cs="Google Sans" w:eastAsia="Google Sans" w:hAnsi="Google Sans"/>
          <w:color w:val="1f1f1f"/>
          <w:rtl w:val="0"/>
        </w:rPr>
        <w:t xml:space="preserve"> on uploaded documents and the embedded ISO 21434 standard text.</w:t>
      </w:r>
    </w:p>
    <w:p w:rsidR="00000000" w:rsidDel="00000000" w:rsidP="00000000" w:rsidRDefault="00000000" w:rsidRPr="00000000" w14:paraId="0000003F">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Suggested Technology Stack (On-Premise Focus)</w:t>
      </w:r>
    </w:p>
    <w:p w:rsidR="00000000" w:rsidDel="00000000" w:rsidP="00000000" w:rsidRDefault="00000000" w:rsidRPr="00000000" w14:paraId="0000004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Frontend:</w:t>
      </w:r>
      <w:r w:rsidDel="00000000" w:rsidR="00000000" w:rsidRPr="00000000">
        <w:rPr>
          <w:rFonts w:ascii="Google Sans" w:cs="Google Sans" w:eastAsia="Google Sans" w:hAnsi="Google Sans"/>
          <w:color w:val="1f1f1f"/>
          <w:rtl w:val="0"/>
        </w:rPr>
        <w:t xml:space="preserve"> React.js / Next.js</w:t>
      </w:r>
    </w:p>
    <w:p w:rsidR="00000000" w:rsidDel="00000000" w:rsidP="00000000" w:rsidRDefault="00000000" w:rsidRPr="00000000" w14:paraId="0000004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Backend:</w:t>
      </w:r>
      <w:r w:rsidDel="00000000" w:rsidR="00000000" w:rsidRPr="00000000">
        <w:rPr>
          <w:rFonts w:ascii="Google Sans" w:cs="Google Sans" w:eastAsia="Google Sans" w:hAnsi="Google Sans"/>
          <w:color w:val="1f1f1f"/>
          <w:rtl w:val="0"/>
        </w:rPr>
        <w:t xml:space="preserve"> Python (FastAPI)</w:t>
      </w:r>
    </w:p>
    <w:p w:rsidR="00000000" w:rsidDel="00000000" w:rsidP="00000000" w:rsidRDefault="00000000" w:rsidRPr="00000000" w14:paraId="0000004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AI / LLMs:</w:t>
      </w:r>
      <w:r w:rsidDel="00000000" w:rsidR="00000000" w:rsidRPr="00000000">
        <w:rPr>
          <w:rFonts w:ascii="Google Sans" w:cs="Google Sans" w:eastAsia="Google Sans" w:hAnsi="Google Sans"/>
          <w:color w:val="1f1f1f"/>
          <w:rtl w:val="0"/>
        </w:rPr>
        <w:t xml:space="preserve"> vLLM or Ollama serving open-weight models (e.g., Llama-3-70B-Instruct or equivalent tuned for reasoning/translation).</w:t>
      </w:r>
    </w:p>
    <w:p w:rsidR="00000000" w:rsidDel="00000000" w:rsidP="00000000" w:rsidRDefault="00000000" w:rsidRPr="00000000" w14:paraId="0000004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OCR:</w:t>
      </w:r>
      <w:r w:rsidDel="00000000" w:rsidR="00000000" w:rsidRPr="00000000">
        <w:rPr>
          <w:rFonts w:ascii="Google Sans" w:cs="Google Sans" w:eastAsia="Google Sans" w:hAnsi="Google Sans"/>
          <w:color w:val="1f1f1f"/>
          <w:rtl w:val="0"/>
        </w:rPr>
        <w:t xml:space="preserve"> Tesseract or PaddleOCR.</w:t>
      </w:r>
    </w:p>
    <w:p w:rsidR="00000000" w:rsidDel="00000000" w:rsidP="00000000" w:rsidRDefault="00000000" w:rsidRPr="00000000" w14:paraId="0000004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Local Embeddings &amp; Vector DB:</w:t>
      </w:r>
      <w:r w:rsidDel="00000000" w:rsidR="00000000" w:rsidRPr="00000000">
        <w:rPr>
          <w:rFonts w:ascii="Google Sans" w:cs="Google Sans" w:eastAsia="Google Sans" w:hAnsi="Google Sans"/>
          <w:color w:val="1f1f1f"/>
          <w:rtl w:val="0"/>
        </w:rPr>
        <w:t xml:space="preserve"> HuggingFace TEI (Text Embeddings Inference) with Milvus or pgvector running via Docker.</w:t>
      </w:r>
    </w:p>
    <w:p w:rsidR="00000000" w:rsidDel="00000000" w:rsidP="00000000" w:rsidRDefault="00000000" w:rsidRPr="00000000" w14:paraId="00000045">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Deployment Infrastructure:</w:t>
      </w:r>
      <w:r w:rsidDel="00000000" w:rsidR="00000000" w:rsidRPr="00000000">
        <w:rPr>
          <w:rFonts w:ascii="Google Sans" w:cs="Google Sans" w:eastAsia="Google Sans" w:hAnsi="Google Sans"/>
          <w:color w:val="1f1f1f"/>
          <w:rtl w:val="0"/>
        </w:rPr>
        <w:t xml:space="preserve"> Kubernetes (K8s) or Docker Swarm on local bare-metal servers or internal VMs.</w:t>
      </w:r>
    </w:p>
    <w:sectPr>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anu SHARMA" w:id="0" w:date="2026-06-05T04:48:56Z">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@ezhilamuthan.murugesan@g-ushin.com Please create a review for these requirements and update where ever needed; do not remove the original requirement; but add your comment or review point. Would like to see the architectural block diagram with the development environment detail by end of the day! Also you can recommend alternate tools</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ezhilamuthan.murugesan@g-ushin.com_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