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Times New Roman" w:hAnsi="Times New Roman"/>
          <w:b/>
          <w:color w:val="0F172A"/>
          <w:sz w:val="28"/>
        </w:rPr>
        <w:t>INDIAN INSTITUTE OF INFORMATION TECHNOLOGY, KOTTAYAM</w:t>
        <w:br/>
      </w:r>
      <w:r>
        <w:rPr>
          <w:rFonts w:ascii="Times New Roman" w:hAnsi="Times New Roman"/>
          <w:b/>
          <w:color w:val="475569"/>
          <w:sz w:val="24"/>
        </w:rPr>
        <w:t>DEPARTMENT OF COMPUTER SCIENCE AND ENGINEERING</w:t>
        <w:br/>
      </w:r>
    </w:p>
    <w:p>
      <w:pPr>
        <w:spacing w:before="360" w:after="600"/>
        <w:jc w:val="center"/>
      </w:pPr>
      <w:r>
        <w:rPr>
          <w:rFonts w:ascii="Times New Roman" w:hAnsi="Times New Roman"/>
          <w:i/>
          <w:sz w:val="24"/>
        </w:rPr>
        <w:t>ARTIFICIAL INTELLIGENCE MINI PROJECT REPORT</w:t>
        <w:br/>
        <w:t>Course: AI Mini Project (Academic Year 2025–2026)</w:t>
      </w:r>
    </w:p>
    <w:p>
      <w:pPr>
        <w:spacing w:before="0" w:after="240"/>
        <w:jc w:val="center"/>
      </w:pPr>
      <w:r>
        <w:rPr>
          <w:rFonts w:ascii="Times New Roman" w:hAnsi="Times New Roman"/>
          <w:b/>
          <w:color w:val="0F172A"/>
          <w:sz w:val="44"/>
        </w:rPr>
        <w:t>MEDIREP: AI-POWERED MEDICAL REPORT ANALYZER &amp; LONGITUDINAL HEALTH TRACKER</w:t>
      </w:r>
    </w:p>
    <w:p>
      <w:pPr>
        <w:spacing w:before="0" w:after="800"/>
        <w:jc w:val="center"/>
      </w:pPr>
      <w:r>
        <w:rPr>
          <w:rFonts w:ascii="Times New Roman" w:hAnsi="Times New Roman"/>
          <w:i/>
          <w:color w:val="475569"/>
          <w:sz w:val="24"/>
        </w:rPr>
        <w:t>A Privacy-Preserving Biomedical NLP &amp; Longitudinal Trajectory Analysis System</w:t>
      </w:r>
    </w:p>
    <w:tbl>
      <w:tblPr>
        <w:tblW w:type="auto" w:w="0"/>
        <w:jc w:val="center"/>
        <w:tblLook w:firstColumn="1" w:firstRow="1" w:lastColumn="0" w:lastRow="0" w:noHBand="0" w:noVBand="1" w:val="04A0"/>
      </w:tblPr>
      <w:tblGrid>
        <w:gridCol w:w="4514"/>
        <w:gridCol w:w="4514"/>
      </w:tblGrid>
      <w:tr>
        <w:tc>
          <w:tcPr>
            <w:tcW w:type="dxa" w:w="3168"/>
            <w:tcMar>
              <w:top w:w="60" w:type="dxa"/>
              <w:bottom w:w="60" w:type="dxa"/>
              <w:left w:w="80" w:type="dxa"/>
              <w:right w:w="80" w:type="dxa"/>
            </w:tcMar>
          </w:tcPr>
          <w:p>
            <w:pPr>
              <w:spacing w:after="40"/>
            </w:pPr>
            <w:r>
              <w:rPr>
                <w:rFonts w:ascii="Times New Roman" w:hAnsi="Times New Roman"/>
                <w:b/>
                <w:sz w:val="22"/>
              </w:rPr>
              <w:t>Student Name:</w:t>
            </w:r>
          </w:p>
        </w:tc>
        <w:tc>
          <w:tcPr>
            <w:tcW w:type="dxa" w:w="5472"/>
            <w:tcMar>
              <w:top w:w="60" w:type="dxa"/>
              <w:bottom w:w="60" w:type="dxa"/>
              <w:left w:w="80" w:type="dxa"/>
              <w:right w:w="80" w:type="dxa"/>
            </w:tcMar>
          </w:tcPr>
          <w:p>
            <w:pPr>
              <w:spacing w:after="40"/>
            </w:pPr>
            <w:r>
              <w:rPr>
                <w:rFonts w:ascii="Times New Roman" w:hAnsi="Times New Roman"/>
                <w:sz w:val="22"/>
              </w:rPr>
              <w:t>Student / Project Contributor</w:t>
            </w:r>
          </w:p>
        </w:tc>
      </w:tr>
      <w:tr>
        <w:tc>
          <w:tcPr>
            <w:tcW w:type="dxa" w:w="3168"/>
            <w:tcMar>
              <w:top w:w="60" w:type="dxa"/>
              <w:bottom w:w="60" w:type="dxa"/>
              <w:left w:w="80" w:type="dxa"/>
              <w:right w:w="80" w:type="dxa"/>
            </w:tcMar>
          </w:tcPr>
          <w:p>
            <w:pPr>
              <w:spacing w:after="40"/>
            </w:pPr>
            <w:r>
              <w:rPr>
                <w:rFonts w:ascii="Times New Roman" w:hAnsi="Times New Roman"/>
                <w:b/>
                <w:sz w:val="22"/>
              </w:rPr>
              <w:t>Roll Number / ID:</w:t>
            </w:r>
          </w:p>
        </w:tc>
        <w:tc>
          <w:tcPr>
            <w:tcW w:type="dxa" w:w="5472"/>
            <w:tcMar>
              <w:top w:w="60" w:type="dxa"/>
              <w:bottom w:w="60" w:type="dxa"/>
              <w:left w:w="80" w:type="dxa"/>
              <w:right w:w="80" w:type="dxa"/>
            </w:tcMar>
          </w:tcPr>
          <w:p>
            <w:pPr>
              <w:spacing w:after="40"/>
            </w:pPr>
            <w:r>
              <w:rPr>
                <w:rFonts w:ascii="Times New Roman" w:hAnsi="Times New Roman"/>
                <w:sz w:val="22"/>
              </w:rPr>
              <w:t>IIITK / CSE Core</w:t>
            </w:r>
          </w:p>
        </w:tc>
      </w:tr>
      <w:tr>
        <w:tc>
          <w:tcPr>
            <w:tcW w:type="dxa" w:w="3168"/>
            <w:tcMar>
              <w:top w:w="60" w:type="dxa"/>
              <w:bottom w:w="60" w:type="dxa"/>
              <w:left w:w="80" w:type="dxa"/>
              <w:right w:w="80" w:type="dxa"/>
            </w:tcMar>
          </w:tcPr>
          <w:p>
            <w:pPr>
              <w:spacing w:after="40"/>
            </w:pPr>
            <w:r>
              <w:rPr>
                <w:rFonts w:ascii="Times New Roman" w:hAnsi="Times New Roman"/>
                <w:b/>
                <w:sz w:val="22"/>
              </w:rPr>
              <w:t>Degree &amp; Department:</w:t>
            </w:r>
          </w:p>
        </w:tc>
        <w:tc>
          <w:tcPr>
            <w:tcW w:type="dxa" w:w="5472"/>
            <w:tcMar>
              <w:top w:w="60" w:type="dxa"/>
              <w:bottom w:w="60" w:type="dxa"/>
              <w:left w:w="80" w:type="dxa"/>
              <w:right w:w="80" w:type="dxa"/>
            </w:tcMar>
          </w:tcPr>
          <w:p>
            <w:pPr>
              <w:spacing w:after="40"/>
            </w:pPr>
            <w:r>
              <w:rPr>
                <w:rFonts w:ascii="Times New Roman" w:hAnsi="Times New Roman"/>
                <w:sz w:val="22"/>
              </w:rPr>
              <w:t>B.Tech in Computer Science &amp; Engineering</w:t>
            </w:r>
          </w:p>
        </w:tc>
      </w:tr>
      <w:tr>
        <w:tc>
          <w:tcPr>
            <w:tcW w:type="dxa" w:w="3168"/>
            <w:tcMar>
              <w:top w:w="60" w:type="dxa"/>
              <w:bottom w:w="60" w:type="dxa"/>
              <w:left w:w="80" w:type="dxa"/>
              <w:right w:w="80" w:type="dxa"/>
            </w:tcMar>
          </w:tcPr>
          <w:p>
            <w:pPr>
              <w:spacing w:after="40"/>
            </w:pPr>
            <w:r>
              <w:rPr>
                <w:rFonts w:ascii="Times New Roman" w:hAnsi="Times New Roman"/>
                <w:b/>
                <w:sz w:val="22"/>
              </w:rPr>
              <w:t>Project Supervisor:</w:t>
            </w:r>
          </w:p>
        </w:tc>
        <w:tc>
          <w:tcPr>
            <w:tcW w:type="dxa" w:w="5472"/>
            <w:tcMar>
              <w:top w:w="60" w:type="dxa"/>
              <w:bottom w:w="60" w:type="dxa"/>
              <w:left w:w="80" w:type="dxa"/>
              <w:right w:w="80" w:type="dxa"/>
            </w:tcMar>
          </w:tcPr>
          <w:p>
            <w:pPr>
              <w:spacing w:after="40"/>
            </w:pPr>
            <w:r>
              <w:rPr>
                <w:rFonts w:ascii="Times New Roman" w:hAnsi="Times New Roman"/>
                <w:sz w:val="22"/>
              </w:rPr>
              <w:t>Faculty Advisor / Course Instructor</w:t>
            </w:r>
          </w:p>
        </w:tc>
      </w:tr>
      <w:tr>
        <w:tc>
          <w:tcPr>
            <w:tcW w:type="dxa" w:w="3168"/>
            <w:tcMar>
              <w:top w:w="60" w:type="dxa"/>
              <w:bottom w:w="60" w:type="dxa"/>
              <w:left w:w="80" w:type="dxa"/>
              <w:right w:w="80" w:type="dxa"/>
            </w:tcMar>
          </w:tcPr>
          <w:p>
            <w:pPr>
              <w:spacing w:after="40"/>
            </w:pPr>
            <w:r>
              <w:rPr>
                <w:rFonts w:ascii="Times New Roman" w:hAnsi="Times New Roman"/>
                <w:b/>
                <w:sz w:val="22"/>
              </w:rPr>
              <w:t>Submission Date:</w:t>
            </w:r>
          </w:p>
        </w:tc>
        <w:tc>
          <w:tcPr>
            <w:tcW w:type="dxa" w:w="5472"/>
            <w:tcMar>
              <w:top w:w="60" w:type="dxa"/>
              <w:bottom w:w="60" w:type="dxa"/>
              <w:left w:w="80" w:type="dxa"/>
              <w:right w:w="80" w:type="dxa"/>
            </w:tcMar>
          </w:tcPr>
          <w:p>
            <w:pPr>
              <w:spacing w:after="40"/>
            </w:pPr>
            <w:r>
              <w:rPr>
                <w:rFonts w:ascii="Times New Roman" w:hAnsi="Times New Roman"/>
                <w:sz w:val="22"/>
              </w:rPr>
              <w:t>October 2026</w:t>
            </w:r>
          </w:p>
        </w:tc>
      </w:tr>
    </w:tbl>
    <w:p>
      <w:r>
        <w:br w:type="page"/>
      </w:r>
    </w:p>
    <w:p>
      <w:pPr>
        <w:keepNext/>
        <w:spacing w:before="320" w:after="120"/>
      </w:pPr>
      <w:r>
        <w:rPr>
          <w:rFonts w:ascii="Times New Roman" w:hAnsi="Times New Roman"/>
          <w:b/>
          <w:color w:val="1E3A8A"/>
          <w:sz w:val="30"/>
        </w:rPr>
        <w:t>Abstract</w:t>
      </w:r>
    </w:p>
    <w:p>
      <w:pPr>
        <w:spacing w:line="276" w:lineRule="auto" w:after="120"/>
        <w:jc w:val="both"/>
      </w:pPr>
      <w:r>
        <w:rPr>
          <w:rFonts w:ascii="Times New Roman" w:hAnsi="Times New Roman"/>
          <w:sz w:val="22"/>
        </w:rPr>
        <w:t>Medical diagnostic reports, laboratory test panels, and radiology transcripts contain critical clinical information that directly influences patient well-being. However, these documents are saturated with specialized clinical terminology, metric-specific numerical intervals, and shorthand abbreviations that remain largely unintelligible to non-specialist patients. Generic generative Artificial Intelligence models frequently introduce factual hallucinations, numerical misclassifications, and serious data privacy breaches when handling sensitive Electronic Health Records (EHR). To resolve these challenges, this project presents MediRep, an AI-powered, privacy-preserving medical report analyzer and longitudinal health trajectory tracker. MediRep implements a hybrid architecture combining optical character recognition (PyMuPDF and Tesseract OCR), deterministic interval evaluation against report-printed reference ranges, and Biomedical Named Entity Recognition (NER) structured upon an 8-class clinical taxonomy (covering diseases, symptoms, medications, anatomical structures, diagnostic tests, surgical procedures, pathogens, and radiological findings). Grounded in 6,168 cleaned and verified medical reports from MTSamples and the Indiana University Chest X-Ray collection, MediRep translates complex clinical language into 6th–8th grade reading summaries, highlights acute red-flag alerts, and provides evidence-grounded lifestyle guidance and doctor visit checklists. Furthermore, MediRep introduces a Longitudinal Trend Tracker that visualizes multi-month biomarker trajectories across serial lab tests. Operating under a strict zero-retention in-memory privacy model, MediRep processes unstructured documents in under 0.1 seconds with zero unauthorized data persistence, providing an ethical, highly dependable bridge between clinical diagnostics and patient comprehension.</w:t>
      </w:r>
    </w:p>
    <w:p>
      <w:pPr>
        <w:spacing w:line="276" w:lineRule="auto" w:after="120"/>
        <w:jc w:val="both"/>
      </w:pPr>
      <w:r>
        <w:rPr>
          <w:rFonts w:ascii="Times New Roman" w:hAnsi="Times New Roman"/>
          <w:b/>
          <w:sz w:val="22"/>
        </w:rPr>
        <w:t xml:space="preserve">Keywords: </w:t>
      </w:r>
      <w:r>
        <w:rPr>
          <w:rFonts w:ascii="Times New Roman" w:hAnsi="Times New Roman"/>
          <w:sz w:val="22"/>
        </w:rPr>
        <w:t>Biomedical Named Entity Recognition (NER), Clinical NLP, Health Literacy, In-Memory Privacy, Longitudinal Lab Tracking, Deterministic Range Matching.</w:t>
      </w:r>
    </w:p>
    <w:p>
      <w:r>
        <w:br w:type="page"/>
      </w:r>
    </w:p>
    <w:p>
      <w:pPr>
        <w:keepNext/>
        <w:spacing w:before="320" w:after="120"/>
      </w:pPr>
      <w:r>
        <w:rPr>
          <w:rFonts w:ascii="Times New Roman" w:hAnsi="Times New Roman"/>
          <w:b/>
          <w:color w:val="1E3A8A"/>
          <w:sz w:val="30"/>
        </w:rPr>
        <w:t>1. Introduction</w:t>
      </w:r>
    </w:p>
    <w:p>
      <w:pPr>
        <w:spacing w:line="276" w:lineRule="auto" w:after="120"/>
        <w:jc w:val="both"/>
      </w:pPr>
      <w:r>
        <w:rPr>
          <w:rFonts w:ascii="Times New Roman" w:hAnsi="Times New Roman"/>
          <w:sz w:val="22"/>
        </w:rPr>
        <w:t>Modern healthcare heavily relies on quantitative laboratory medicine and diagnostic imaging to formulate diagnoses, monitor chronic conditions, and evaluate therapeutic efficacy. Patients routinely receive comprehensive metabolic panels, lipid profiles, complete blood counts (CBC), and radiological transcripts following medical consultations. Despite open access to digital diagnostic records via patient portals, health literacy remains a profound barrier to effective care.</w:t>
      </w:r>
    </w:p>
    <w:p>
      <w:pPr>
        <w:spacing w:line="276" w:lineRule="auto" w:after="120"/>
        <w:jc w:val="both"/>
      </w:pPr>
      <w:r>
        <w:rPr>
          <w:rFonts w:ascii="Times New Roman" w:hAnsi="Times New Roman"/>
          <w:sz w:val="22"/>
        </w:rPr>
        <w:t>A typical medical report contains dense tabular lines such as 'Hemoglobin: 11.2 g/dL (Reference Range: 12.0 - 15.5 g/dL)' alongside radiological remarks such as 'patchy airspace consolidation with absence of pneumothorax.' Without clinical training, patients are frequently unable to distinguish between minor physiological deviations and urgent pathological crises. Studies indicate that over 70% of outpatients experience acute psychological stress when reviewing diagnostic data in the absence of a physician. Conversely, patients who misinterpret abnormal values as benign may delay essential medical interventions.</w:t>
      </w:r>
    </w:p>
    <w:p>
      <w:pPr>
        <w:spacing w:line="276" w:lineRule="auto" w:after="120"/>
        <w:jc w:val="both"/>
      </w:pPr>
      <w:r>
        <w:rPr>
          <w:rFonts w:ascii="Times New Roman" w:hAnsi="Times New Roman"/>
          <w:sz w:val="22"/>
        </w:rPr>
        <w:t>Artificial Intelligence, particularly Natural Language Processing (NLP) and information extraction, presents an unprecedented opportunity to bridge this health literacy divide. However, deploying AI within healthcare demands rigorous safeguards: the system must be deterministic where precision is non-negotiable (such as numerical range comparison), context-aware when interpreting medical entities, and unconditionally respectful of patient confidentiality. MediRep was engineered to satisfy these demanding criteria, establishing an accessible, trustworthy, and clinically grounded assistant for personal health monitoring.</w:t>
      </w:r>
    </w:p>
    <w:p>
      <w:pPr>
        <w:keepNext/>
        <w:spacing w:before="320" w:after="120"/>
      </w:pPr>
      <w:r>
        <w:rPr>
          <w:rFonts w:ascii="Times New Roman" w:hAnsi="Times New Roman"/>
          <w:b/>
          <w:color w:val="1E3A8A"/>
          <w:sz w:val="30"/>
        </w:rPr>
        <w:t>2. Problem Statement &amp; Objectives</w:t>
      </w:r>
    </w:p>
    <w:p>
      <w:pPr>
        <w:keepNext/>
        <w:spacing w:before="240" w:after="80"/>
      </w:pPr>
      <w:r>
        <w:rPr>
          <w:rFonts w:ascii="Times New Roman" w:hAnsi="Times New Roman"/>
          <w:b/>
          <w:color w:val="334155"/>
          <w:sz w:val="26"/>
        </w:rPr>
        <w:t>2.1 Problem Statement</w:t>
      </w:r>
    </w:p>
    <w:p>
      <w:pPr>
        <w:spacing w:line="276" w:lineRule="auto" w:after="120"/>
        <w:jc w:val="both"/>
      </w:pPr>
      <w:r>
        <w:rPr>
          <w:rFonts w:ascii="Times New Roman" w:hAnsi="Times New Roman"/>
          <w:sz w:val="22"/>
        </w:rPr>
        <w:t>Current approaches to medical report interpretation suffer from three critical flaws: (1) Clinical Jargon &amp; Cognitive Overload: Diagnostic documents communicate in physician-oriented technical language devoid of plain-language explanations suitable for patients; (2) Generative AI Hallucination &amp; Safety Risks: Commercial large language models (LLMs) often hallucinate lab reference boundaries, misinterpret negated findings (e.g., classifying 'No pneumonia' as pneumonia), and provide unverified speculative diagnoses; and (3) Severe Privacy &amp; HIPAA Violations: Uploading private medical reports to commercial third-party cloud APIs violates health information privacy regulations and compromises patient confidentiality.</w:t>
      </w:r>
    </w:p>
    <w:p>
      <w:pPr>
        <w:keepNext/>
        <w:spacing w:before="240" w:after="80"/>
      </w:pPr>
      <w:r>
        <w:rPr>
          <w:rFonts w:ascii="Times New Roman" w:hAnsi="Times New Roman"/>
          <w:b/>
          <w:color w:val="334155"/>
          <w:sz w:val="26"/>
        </w:rPr>
        <w:t>2.2 Project Objectives</w:t>
      </w:r>
    </w:p>
    <w:p>
      <w:pPr>
        <w:spacing w:line="276" w:lineRule="auto" w:after="120"/>
        <w:jc w:val="both"/>
      </w:pPr>
      <w:r>
        <w:rPr>
          <w:rFonts w:ascii="Times New Roman" w:hAnsi="Times New Roman"/>
          <w:sz w:val="22"/>
        </w:rPr>
        <w:t>To resolve the aforementioned challenges, this project establishes the following concrete engineering and AI objectives:</w:t>
      </w:r>
    </w:p>
    <w:p>
      <w:pPr>
        <w:pStyle w:val="ListBullet"/>
        <w:spacing w:line="276" w:lineRule="auto" w:after="80"/>
        <w:ind w:left="360"/>
      </w:pPr>
      <w:r>
        <w:rPr>
          <w:rFonts w:ascii="Times New Roman" w:hAnsi="Times New Roman"/>
          <w:b/>
          <w:sz w:val="22"/>
        </w:rPr>
        <w:t xml:space="preserve">Objective 1: </w:t>
      </w:r>
      <w:r>
        <w:rPr>
          <w:rFonts w:ascii="Times New Roman" w:hAnsi="Times New Roman"/>
          <w:sz w:val="22"/>
        </w:rPr>
        <w:t>Develop a Multi-Format Ingestion &amp; OCR Pipeline capable of reliably extracting text from PDF documents, digital scans, and smartphone images (.png, .jpg, .txt) up to 10 MB in memory.</w:t>
      </w:r>
    </w:p>
    <w:p>
      <w:pPr>
        <w:pStyle w:val="ListBullet"/>
        <w:spacing w:line="276" w:lineRule="auto" w:after="80"/>
        <w:ind w:left="360"/>
      </w:pPr>
      <w:r>
        <w:rPr>
          <w:rFonts w:ascii="Times New Roman" w:hAnsi="Times New Roman"/>
          <w:b/>
          <w:sz w:val="22"/>
        </w:rPr>
        <w:t xml:space="preserve">Objective 2: </w:t>
      </w:r>
      <w:r>
        <w:rPr>
          <w:rFonts w:ascii="Times New Roman" w:hAnsi="Times New Roman"/>
          <w:sz w:val="22"/>
        </w:rPr>
        <w:t>Implement a Deterministic Lab Analysis Engine that extracts numeric measurements and performs interval comparisons strictly against reference boundaries printed in the uploaded report, eliminating generative AI numerical hallucinations.</w:t>
      </w:r>
    </w:p>
    <w:p>
      <w:pPr>
        <w:pStyle w:val="ListBullet"/>
        <w:spacing w:line="276" w:lineRule="auto" w:after="80"/>
        <w:ind w:left="360"/>
      </w:pPr>
      <w:r>
        <w:rPr>
          <w:rFonts w:ascii="Times New Roman" w:hAnsi="Times New Roman"/>
          <w:b/>
          <w:sz w:val="22"/>
        </w:rPr>
        <w:t xml:space="preserve">Objective 3: </w:t>
      </w:r>
      <w:r>
        <w:rPr>
          <w:rFonts w:ascii="Times New Roman" w:hAnsi="Times New Roman"/>
          <w:sz w:val="22"/>
        </w:rPr>
        <w:t>Construct a Biomedical Named Entity Recognition (NER) Module based on a standardized 8-class clinical taxonomy (Disease, Symptom, Medication, Anatomy, Test, Procedure, Pathogen, Radiological Finding) paired with assertion classification.</w:t>
      </w:r>
    </w:p>
    <w:p>
      <w:pPr>
        <w:pStyle w:val="ListBullet"/>
        <w:spacing w:line="276" w:lineRule="auto" w:after="80"/>
        <w:ind w:left="360"/>
      </w:pPr>
      <w:r>
        <w:rPr>
          <w:rFonts w:ascii="Times New Roman" w:hAnsi="Times New Roman"/>
          <w:b/>
          <w:sz w:val="22"/>
        </w:rPr>
        <w:t xml:space="preserve">Objective 4: </w:t>
      </w:r>
      <w:r>
        <w:rPr>
          <w:rFonts w:ascii="Times New Roman" w:hAnsi="Times New Roman"/>
          <w:sz w:val="22"/>
        </w:rPr>
        <w:t>Integrate Clinical Dataset Grounding using 6,168 verified and cleaned clinical reports from MTSamples and the Indiana University Hospital Chest X-Ray archive (adapted from Kaggle research) for benchmarking and evaluation.</w:t>
      </w:r>
    </w:p>
    <w:p>
      <w:pPr>
        <w:pStyle w:val="ListBullet"/>
        <w:spacing w:line="276" w:lineRule="auto" w:after="80"/>
        <w:ind w:left="360"/>
      </w:pPr>
      <w:r>
        <w:rPr>
          <w:rFonts w:ascii="Times New Roman" w:hAnsi="Times New Roman"/>
          <w:b/>
          <w:sz w:val="22"/>
        </w:rPr>
        <w:t xml:space="preserve">Objective 5: </w:t>
      </w:r>
      <w:r>
        <w:rPr>
          <w:rFonts w:ascii="Times New Roman" w:hAnsi="Times New Roman"/>
          <w:sz w:val="22"/>
        </w:rPr>
        <w:t>Design a Longitudinal Trend Tracker allowing patients to track biomarker trajectories (e.g., Hemoglobin, Fasting Glucose) across multi-month serial tests with interactive SVG curve visualization and healthy baseline bands.</w:t>
      </w:r>
    </w:p>
    <w:p>
      <w:pPr>
        <w:pStyle w:val="ListBullet"/>
        <w:spacing w:line="276" w:lineRule="auto" w:after="80"/>
        <w:ind w:left="360"/>
      </w:pPr>
      <w:r>
        <w:rPr>
          <w:rFonts w:ascii="Times New Roman" w:hAnsi="Times New Roman"/>
          <w:b/>
          <w:sz w:val="22"/>
        </w:rPr>
        <w:t xml:space="preserve">Objective 6: </w:t>
      </w:r>
      <w:r>
        <w:rPr>
          <w:rFonts w:ascii="Times New Roman" w:hAnsi="Times New Roman"/>
          <w:sz w:val="22"/>
        </w:rPr>
        <w:t>Enforce a Zero-Retention In-Memory Privacy Architecture, ensuring that raw patient health data and file bytes are never persisted to disk, relational databases, or external third-party servers.</w:t>
      </w:r>
    </w:p>
    <w:p>
      <w:pPr>
        <w:keepNext/>
        <w:spacing w:before="320" w:after="120"/>
      </w:pPr>
      <w:r>
        <w:rPr>
          <w:rFonts w:ascii="Times New Roman" w:hAnsi="Times New Roman"/>
          <w:b/>
          <w:color w:val="1E3A8A"/>
          <w:sz w:val="30"/>
        </w:rPr>
        <w:t>3. Literature Review</w:t>
      </w:r>
    </w:p>
    <w:p>
      <w:pPr>
        <w:spacing w:line="276" w:lineRule="auto" w:after="120"/>
        <w:jc w:val="both"/>
      </w:pPr>
      <w:r>
        <w:rPr>
          <w:rFonts w:ascii="Times New Roman" w:hAnsi="Times New Roman"/>
          <w:sz w:val="22"/>
        </w:rPr>
        <w:t>The development of MediRep is situated at the intersection of Biomedical Named Entity Recognition, clinical text negation detection, deterministic clinical decision support systems, and privacy-preserving healthcare software. A review of five foundational studies and existing systems is presented below:</w:t>
      </w:r>
    </w:p>
    <w:p>
      <w:pPr>
        <w:spacing w:line="276" w:lineRule="auto" w:after="120"/>
        <w:jc w:val="both"/>
      </w:pPr>
      <w:r>
        <w:rPr>
          <w:rFonts w:ascii="Times New Roman" w:hAnsi="Times New Roman"/>
          <w:b/>
          <w:sz w:val="22"/>
        </w:rPr>
        <w:t xml:space="preserve">Lee et al. (2020) — 'BioBERT: a pre-trained biomedical language representation model for biomedical text mining': </w:t>
      </w:r>
      <w:r>
        <w:rPr>
          <w:rFonts w:ascii="Times New Roman" w:hAnsi="Times New Roman"/>
          <w:sz w:val="22"/>
        </w:rPr>
        <w:t>BioBERT demonstrated that transformer models pre-trained on massive biomedical corpora (PubMed abstracts and PMC full articles) significantly outperform standard BERT models on biomedical named entity recognition (BioNER), relation extraction, and question answering. However, BioBERT remains computationally intensive and prone to hallucination if asked to generate patient-facing summaries directly. MediRep builds upon BioBERT's token classification principles while constraining the interpretive layer with deterministic logic.</w:t>
      </w:r>
    </w:p>
    <w:p>
      <w:pPr>
        <w:spacing w:line="276" w:lineRule="auto" w:after="120"/>
        <w:jc w:val="both"/>
      </w:pPr>
      <w:r>
        <w:rPr>
          <w:rFonts w:ascii="Times New Roman" w:hAnsi="Times New Roman"/>
          <w:b/>
          <w:sz w:val="22"/>
        </w:rPr>
        <w:t xml:space="preserve">Neumann et al. (2019) — 'ScispaCy: Fast and Robust Models for Biomedical Natural Language Processing': </w:t>
      </w:r>
      <w:r>
        <w:rPr>
          <w:rFonts w:ascii="Times New Roman" w:hAnsi="Times New Roman"/>
          <w:sz w:val="22"/>
        </w:rPr>
        <w:t>The authors developed ScispaCy, a specialized library for biomedical and clinical text processing utilizing custom tokenizers, part-of-speech taggers, and entity recognizers tuned to clinical vocabularies (UMLS, MeSH). The primary limitation identified was its heavy memory footprint when deployed in resource-constrained environments. MediRep utilizes an optimized, rule-verified clinical lexicon derived from Kaggle evaluation schemas to achieve real-time latency (&lt;0.1s) without sacrificing entity precision.</w:t>
      </w:r>
    </w:p>
    <w:p>
      <w:pPr>
        <w:spacing w:line="276" w:lineRule="auto" w:after="120"/>
        <w:jc w:val="both"/>
      </w:pPr>
      <w:r>
        <w:rPr>
          <w:rFonts w:ascii="Times New Roman" w:hAnsi="Times New Roman"/>
          <w:b/>
          <w:sz w:val="22"/>
        </w:rPr>
        <w:t xml:space="preserve">Chapman et al. (2001) — 'A Simple Algorithm for Identifying Negated Findings and Diseases in Discharge Summaries (NegEx)': </w:t>
      </w:r>
      <w:r>
        <w:rPr>
          <w:rFonts w:ascii="Times New Roman" w:hAnsi="Times New Roman"/>
          <w:sz w:val="22"/>
        </w:rPr>
        <w:t>The NegEx algorithm remains a benchmark in clinical informatics for distinguishing between present and absent findings by detecting trigger terms (e.g., 'no evidence of', 'ruled out', 'denies'). Misclassifying negated conditions as active diseases is a catastrophic failure mode of naive NLP models. MediRep incorporates explicit assertion classification rules based on this foundational work to ensure that statements like 'No pleural effusion' or 'No pneumothorax' are correctly categorized as ABSENT.</w:t>
      </w:r>
    </w:p>
    <w:p>
      <w:pPr>
        <w:spacing w:line="276" w:lineRule="auto" w:after="120"/>
        <w:jc w:val="both"/>
      </w:pPr>
      <w:r>
        <w:rPr>
          <w:rFonts w:ascii="Times New Roman" w:hAnsi="Times New Roman"/>
          <w:b/>
          <w:sz w:val="22"/>
        </w:rPr>
        <w:t xml:space="preserve">Demner-Fushman et al. (2016) — 'Preparing a collection of radiology examinations for distribution and retrieval (IU X-Ray)': </w:t>
      </w:r>
      <w:r>
        <w:rPr>
          <w:rFonts w:ascii="Times New Roman" w:hAnsi="Times New Roman"/>
          <w:sz w:val="22"/>
        </w:rPr>
        <w:t>This work prepared and released 3,955 chest X-ray reports from Indiana University Hospital via the OpenI platform under the U.S. National Library of Medicine (NLM/NIH). The authors established standard XML tagging for Indication, Findings, and Impression sections. MediRep directly incorporates 3,835 cleaned and parsed radiology reports from this benchmark dataset in its evaluation suite (`eval/data/`).</w:t>
      </w:r>
    </w:p>
    <w:p>
      <w:pPr>
        <w:spacing w:line="276" w:lineRule="auto" w:after="120"/>
        <w:jc w:val="both"/>
      </w:pPr>
      <w:r>
        <w:rPr>
          <w:rFonts w:ascii="Times New Roman" w:hAnsi="Times New Roman"/>
          <w:b/>
          <w:sz w:val="22"/>
        </w:rPr>
        <w:t xml:space="preserve">Kaggle Clinical NLP Research (2026) — 'Medical Report Analyzer Annotation &amp; Assertion Framework (Notebook 6b09c9c4d8)': </w:t>
      </w:r>
      <w:r>
        <w:rPr>
          <w:rFonts w:ascii="Times New Roman" w:hAnsi="Times New Roman"/>
          <w:sz w:val="22"/>
        </w:rPr>
        <w:t>The recent Kaggle study by P. Anil developed an integrated clinical NER annotation schema and assertion framework for the Medical Report Analyzer initiative. The study combined 2,336 MTSamples clinical transcriptions with 3,835 IU X-Ray reports, establishing standard 8-class entity boundaries and verified gold-standard annotations. MediRep directly adopts this taxonomy, data pipeline, and split methodology, transforming theoretical research into a deployable software architecture.</w:t>
      </w:r>
    </w:p>
    <w:p>
      <w:pPr>
        <w:keepNext/>
        <w:spacing w:before="240" w:after="80"/>
      </w:pPr>
      <w:r>
        <w:rPr>
          <w:rFonts w:ascii="Times New Roman" w:hAnsi="Times New Roman"/>
          <w:b/>
          <w:color w:val="334155"/>
          <w:sz w:val="26"/>
        </w:rPr>
        <w:t>3.1 Comparative Analysis of Existing Approaches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E2E8F0"/>
            <w:tcMar>
              <w:top w:w="80" w:type="dxa"/>
              <w:bottom w:w="80" w:type="dxa"/>
              <w:left w:w="100" w:type="dxa"/>
              <w:right w:w="100" w:type="dxa"/>
            </w:tcMar>
          </w:tcPr>
          <w:p>
            <w:pPr>
              <w:jc w:val="center"/>
            </w:pPr>
            <w:r>
              <w:rPr>
                <w:b/>
                <w:sz w:val="19"/>
              </w:rPr>
              <w:t>System / Model</w:t>
            </w:r>
          </w:p>
        </w:tc>
        <w:tc>
          <w:tcPr>
            <w:tcW w:type="dxa" w:w="1806"/>
            <w:shd w:fill="E2E8F0"/>
            <w:tcMar>
              <w:top w:w="80" w:type="dxa"/>
              <w:bottom w:w="80" w:type="dxa"/>
              <w:left w:w="100" w:type="dxa"/>
              <w:right w:w="100" w:type="dxa"/>
            </w:tcMar>
          </w:tcPr>
          <w:p>
            <w:pPr>
              <w:jc w:val="center"/>
            </w:pPr>
            <w:r>
              <w:rPr>
                <w:b/>
                <w:sz w:val="19"/>
              </w:rPr>
              <w:t>Core Technique</w:t>
            </w:r>
          </w:p>
        </w:tc>
        <w:tc>
          <w:tcPr>
            <w:tcW w:type="dxa" w:w="1806"/>
            <w:shd w:fill="E2E8F0"/>
            <w:tcMar>
              <w:top w:w="80" w:type="dxa"/>
              <w:bottom w:w="80" w:type="dxa"/>
              <w:left w:w="100" w:type="dxa"/>
              <w:right w:w="100" w:type="dxa"/>
            </w:tcMar>
          </w:tcPr>
          <w:p>
            <w:pPr>
              <w:jc w:val="center"/>
            </w:pPr>
            <w:r>
              <w:rPr>
                <w:b/>
                <w:sz w:val="19"/>
              </w:rPr>
              <w:t>Lab Range Determinism</w:t>
            </w:r>
          </w:p>
        </w:tc>
        <w:tc>
          <w:tcPr>
            <w:tcW w:type="dxa" w:w="1806"/>
            <w:shd w:fill="E2E8F0"/>
            <w:tcMar>
              <w:top w:w="80" w:type="dxa"/>
              <w:bottom w:w="80" w:type="dxa"/>
              <w:left w:w="100" w:type="dxa"/>
              <w:right w:w="100" w:type="dxa"/>
            </w:tcMar>
          </w:tcPr>
          <w:p>
            <w:pPr>
              <w:jc w:val="center"/>
            </w:pPr>
            <w:r>
              <w:rPr>
                <w:b/>
                <w:sz w:val="19"/>
              </w:rPr>
              <w:t>Negation Handling</w:t>
            </w:r>
          </w:p>
        </w:tc>
        <w:tc>
          <w:tcPr>
            <w:tcW w:type="dxa" w:w="1806"/>
            <w:shd w:fill="E2E8F0"/>
            <w:tcMar>
              <w:top w:w="80" w:type="dxa"/>
              <w:bottom w:w="80" w:type="dxa"/>
              <w:left w:w="100" w:type="dxa"/>
              <w:right w:w="100" w:type="dxa"/>
            </w:tcMar>
          </w:tcPr>
          <w:p>
            <w:pPr>
              <w:jc w:val="center"/>
            </w:pPr>
            <w:r>
              <w:rPr>
                <w:b/>
                <w:sz w:val="19"/>
              </w:rPr>
              <w:t>Privacy / Zero-Retention</w:t>
            </w:r>
          </w:p>
        </w:tc>
      </w:tr>
      <w:tr>
        <w:tc>
          <w:tcPr>
            <w:tcW w:type="dxa" w:w="1806"/>
            <w:tcMar>
              <w:top w:w="60" w:type="dxa"/>
              <w:bottom w:w="60" w:type="dxa"/>
              <w:left w:w="80" w:type="dxa"/>
              <w:right w:w="80" w:type="dxa"/>
            </w:tcMar>
            <w:shd w:fill="F8FAFC"/>
          </w:tcPr>
          <w:p>
            <w:pPr>
              <w:spacing w:after="40"/>
            </w:pPr>
            <w:r>
              <w:rPr>
                <w:b/>
                <w:sz w:val="18"/>
              </w:rPr>
              <w:t>Commercial LLMs (GPT-4 / Claude)</w:t>
            </w:r>
          </w:p>
        </w:tc>
        <w:tc>
          <w:tcPr>
            <w:tcW w:type="dxa" w:w="1806"/>
            <w:tcMar>
              <w:top w:w="60" w:type="dxa"/>
              <w:bottom w:w="60" w:type="dxa"/>
              <w:left w:w="80" w:type="dxa"/>
              <w:right w:w="80" w:type="dxa"/>
            </w:tcMar>
          </w:tcPr>
          <w:p>
            <w:pPr>
              <w:spacing w:after="40"/>
            </w:pPr>
            <w:r>
              <w:rPr>
                <w:sz w:val="18"/>
              </w:rPr>
              <w:t>Generative Pre-training</w:t>
            </w:r>
          </w:p>
        </w:tc>
        <w:tc>
          <w:tcPr>
            <w:tcW w:type="dxa" w:w="1806"/>
            <w:tcMar>
              <w:top w:w="60" w:type="dxa"/>
              <w:bottom w:w="60" w:type="dxa"/>
              <w:left w:w="80" w:type="dxa"/>
              <w:right w:w="80" w:type="dxa"/>
            </w:tcMar>
          </w:tcPr>
          <w:p>
            <w:pPr>
              <w:spacing w:after="40"/>
            </w:pPr>
            <w:r>
              <w:rPr>
                <w:sz w:val="18"/>
              </w:rPr>
              <w:t>No (Hallucinates)</w:t>
            </w:r>
          </w:p>
        </w:tc>
        <w:tc>
          <w:tcPr>
            <w:tcW w:type="dxa" w:w="1806"/>
            <w:tcMar>
              <w:top w:w="60" w:type="dxa"/>
              <w:bottom w:w="60" w:type="dxa"/>
              <w:left w:w="80" w:type="dxa"/>
              <w:right w:w="80" w:type="dxa"/>
            </w:tcMar>
          </w:tcPr>
          <w:p>
            <w:pPr>
              <w:spacing w:after="40"/>
            </w:pPr>
            <w:r>
              <w:rPr>
                <w:sz w:val="18"/>
              </w:rPr>
              <w:t>Variable / Inconsistent</w:t>
            </w:r>
          </w:p>
        </w:tc>
        <w:tc>
          <w:tcPr>
            <w:tcW w:type="dxa" w:w="1806"/>
            <w:tcMar>
              <w:top w:w="60" w:type="dxa"/>
              <w:bottom w:w="60" w:type="dxa"/>
              <w:left w:w="80" w:type="dxa"/>
              <w:right w:w="80" w:type="dxa"/>
            </w:tcMar>
          </w:tcPr>
          <w:p>
            <w:pPr>
              <w:spacing w:after="40"/>
            </w:pPr>
            <w:r>
              <w:rPr>
                <w:sz w:val="18"/>
              </w:rPr>
              <w:t>No (Transmits cloud data)</w:t>
            </w:r>
          </w:p>
        </w:tc>
      </w:tr>
      <w:tr>
        <w:tc>
          <w:tcPr>
            <w:tcW w:type="dxa" w:w="1806"/>
            <w:tcMar>
              <w:top w:w="60" w:type="dxa"/>
              <w:bottom w:w="60" w:type="dxa"/>
              <w:left w:w="80" w:type="dxa"/>
              <w:right w:w="80" w:type="dxa"/>
            </w:tcMar>
            <w:shd w:fill="F8FAFC"/>
          </w:tcPr>
          <w:p>
            <w:pPr>
              <w:spacing w:after="40"/>
            </w:pPr>
            <w:r>
              <w:rPr>
                <w:b/>
                <w:sz w:val="18"/>
              </w:rPr>
              <w:t>BioBERT (Lee et al.)</w:t>
            </w:r>
          </w:p>
        </w:tc>
        <w:tc>
          <w:tcPr>
            <w:tcW w:type="dxa" w:w="1806"/>
            <w:tcMar>
              <w:top w:w="60" w:type="dxa"/>
              <w:bottom w:w="60" w:type="dxa"/>
              <w:left w:w="80" w:type="dxa"/>
              <w:right w:w="80" w:type="dxa"/>
            </w:tcMar>
          </w:tcPr>
          <w:p>
            <w:pPr>
              <w:spacing w:after="40"/>
            </w:pPr>
            <w:r>
              <w:rPr>
                <w:sz w:val="18"/>
              </w:rPr>
              <w:t>Transformer Masked LM</w:t>
            </w:r>
          </w:p>
        </w:tc>
        <w:tc>
          <w:tcPr>
            <w:tcW w:type="dxa" w:w="1806"/>
            <w:tcMar>
              <w:top w:w="60" w:type="dxa"/>
              <w:bottom w:w="60" w:type="dxa"/>
              <w:left w:w="80" w:type="dxa"/>
              <w:right w:w="80" w:type="dxa"/>
            </w:tcMar>
          </w:tcPr>
          <w:p>
            <w:pPr>
              <w:spacing w:after="40"/>
            </w:pPr>
            <w:r>
              <w:rPr>
                <w:sz w:val="18"/>
              </w:rPr>
              <w:t>No (Entity only)</w:t>
            </w:r>
          </w:p>
        </w:tc>
        <w:tc>
          <w:tcPr>
            <w:tcW w:type="dxa" w:w="1806"/>
            <w:tcMar>
              <w:top w:w="60" w:type="dxa"/>
              <w:bottom w:w="60" w:type="dxa"/>
              <w:left w:w="80" w:type="dxa"/>
              <w:right w:w="80" w:type="dxa"/>
            </w:tcMar>
          </w:tcPr>
          <w:p>
            <w:pPr>
              <w:spacing w:after="40"/>
            </w:pPr>
            <w:r>
              <w:rPr>
                <w:sz w:val="18"/>
              </w:rPr>
              <w:t>Requires custom fine-tuning</w:t>
            </w:r>
          </w:p>
        </w:tc>
        <w:tc>
          <w:tcPr>
            <w:tcW w:type="dxa" w:w="1806"/>
            <w:tcMar>
              <w:top w:w="60" w:type="dxa"/>
              <w:bottom w:w="60" w:type="dxa"/>
              <w:left w:w="80" w:type="dxa"/>
              <w:right w:w="80" w:type="dxa"/>
            </w:tcMar>
          </w:tcPr>
          <w:p>
            <w:pPr>
              <w:spacing w:after="40"/>
            </w:pPr>
            <w:r>
              <w:rPr>
                <w:sz w:val="18"/>
              </w:rPr>
              <w:t>Depends on host</w:t>
            </w:r>
          </w:p>
        </w:tc>
      </w:tr>
      <w:tr>
        <w:tc>
          <w:tcPr>
            <w:tcW w:type="dxa" w:w="1806"/>
            <w:tcMar>
              <w:top w:w="60" w:type="dxa"/>
              <w:bottom w:w="60" w:type="dxa"/>
              <w:left w:w="80" w:type="dxa"/>
              <w:right w:w="80" w:type="dxa"/>
            </w:tcMar>
            <w:shd w:fill="F8FAFC"/>
          </w:tcPr>
          <w:p>
            <w:pPr>
              <w:spacing w:after="40"/>
            </w:pPr>
            <w:r>
              <w:rPr>
                <w:b/>
                <w:sz w:val="18"/>
              </w:rPr>
              <w:t>ScispaCy (Neumann et al.)</w:t>
            </w:r>
          </w:p>
        </w:tc>
        <w:tc>
          <w:tcPr>
            <w:tcW w:type="dxa" w:w="1806"/>
            <w:tcMar>
              <w:top w:w="60" w:type="dxa"/>
              <w:bottom w:w="60" w:type="dxa"/>
              <w:left w:w="80" w:type="dxa"/>
              <w:right w:w="80" w:type="dxa"/>
            </w:tcMar>
          </w:tcPr>
          <w:p>
            <w:pPr>
              <w:spacing w:after="40"/>
            </w:pPr>
            <w:r>
              <w:rPr>
                <w:sz w:val="18"/>
              </w:rPr>
              <w:t>Statistical Pipeline</w:t>
            </w:r>
          </w:p>
        </w:tc>
        <w:tc>
          <w:tcPr>
            <w:tcW w:type="dxa" w:w="1806"/>
            <w:tcMar>
              <w:top w:w="60" w:type="dxa"/>
              <w:bottom w:w="60" w:type="dxa"/>
              <w:left w:w="80" w:type="dxa"/>
              <w:right w:w="80" w:type="dxa"/>
            </w:tcMar>
          </w:tcPr>
          <w:p>
            <w:pPr>
              <w:spacing w:after="40"/>
            </w:pPr>
            <w:r>
              <w:rPr>
                <w:sz w:val="18"/>
              </w:rPr>
              <w:t>No (Entity only)</w:t>
            </w:r>
          </w:p>
        </w:tc>
        <w:tc>
          <w:tcPr>
            <w:tcW w:type="dxa" w:w="1806"/>
            <w:tcMar>
              <w:top w:w="60" w:type="dxa"/>
              <w:bottom w:w="60" w:type="dxa"/>
              <w:left w:w="80" w:type="dxa"/>
              <w:right w:w="80" w:type="dxa"/>
            </w:tcMar>
          </w:tcPr>
          <w:p>
            <w:pPr>
              <w:spacing w:after="40"/>
            </w:pPr>
            <w:r>
              <w:rPr>
                <w:sz w:val="18"/>
              </w:rPr>
              <w:t>Rule-based add-ons</w:t>
            </w:r>
          </w:p>
        </w:tc>
        <w:tc>
          <w:tcPr>
            <w:tcW w:type="dxa" w:w="1806"/>
            <w:tcMar>
              <w:top w:w="60" w:type="dxa"/>
              <w:bottom w:w="60" w:type="dxa"/>
              <w:left w:w="80" w:type="dxa"/>
              <w:right w:w="80" w:type="dxa"/>
            </w:tcMar>
          </w:tcPr>
          <w:p>
            <w:pPr>
              <w:spacing w:after="40"/>
            </w:pPr>
            <w:r>
              <w:rPr>
                <w:sz w:val="18"/>
              </w:rPr>
              <w:t>Local deployment</w:t>
            </w:r>
          </w:p>
        </w:tc>
      </w:tr>
      <w:tr>
        <w:tc>
          <w:tcPr>
            <w:tcW w:type="dxa" w:w="1806"/>
            <w:tcMar>
              <w:top w:w="60" w:type="dxa"/>
              <w:bottom w:w="60" w:type="dxa"/>
              <w:left w:w="80" w:type="dxa"/>
              <w:right w:w="80" w:type="dxa"/>
            </w:tcMar>
            <w:shd w:fill="F8FAFC"/>
          </w:tcPr>
          <w:p>
            <w:pPr>
              <w:spacing w:after="40"/>
            </w:pPr>
            <w:r>
              <w:rPr>
                <w:b/>
                <w:sz w:val="18"/>
              </w:rPr>
              <w:t>Standard Hospital Portals</w:t>
            </w:r>
          </w:p>
        </w:tc>
        <w:tc>
          <w:tcPr>
            <w:tcW w:type="dxa" w:w="1806"/>
            <w:tcMar>
              <w:top w:w="60" w:type="dxa"/>
              <w:bottom w:w="60" w:type="dxa"/>
              <w:left w:w="80" w:type="dxa"/>
              <w:right w:w="80" w:type="dxa"/>
            </w:tcMar>
          </w:tcPr>
          <w:p>
            <w:pPr>
              <w:spacing w:after="40"/>
            </w:pPr>
            <w:r>
              <w:rPr>
                <w:sz w:val="18"/>
              </w:rPr>
              <w:t>Static database records</w:t>
            </w:r>
          </w:p>
        </w:tc>
        <w:tc>
          <w:tcPr>
            <w:tcW w:type="dxa" w:w="1806"/>
            <w:tcMar>
              <w:top w:w="60" w:type="dxa"/>
              <w:bottom w:w="60" w:type="dxa"/>
              <w:left w:w="80" w:type="dxa"/>
              <w:right w:w="80" w:type="dxa"/>
            </w:tcMar>
          </w:tcPr>
          <w:p>
            <w:pPr>
              <w:spacing w:after="40"/>
            </w:pPr>
            <w:r>
              <w:rPr>
                <w:sz w:val="18"/>
              </w:rPr>
              <w:t>Partial (Generic tables)</w:t>
            </w:r>
          </w:p>
        </w:tc>
        <w:tc>
          <w:tcPr>
            <w:tcW w:type="dxa" w:w="1806"/>
            <w:tcMar>
              <w:top w:w="60" w:type="dxa"/>
              <w:bottom w:w="60" w:type="dxa"/>
              <w:left w:w="80" w:type="dxa"/>
              <w:right w:w="80" w:type="dxa"/>
            </w:tcMar>
          </w:tcPr>
          <w:p>
            <w:pPr>
              <w:spacing w:after="40"/>
            </w:pPr>
            <w:r>
              <w:rPr>
                <w:sz w:val="18"/>
              </w:rPr>
              <w:t>None (Raw text display)</w:t>
            </w:r>
          </w:p>
        </w:tc>
        <w:tc>
          <w:tcPr>
            <w:tcW w:type="dxa" w:w="1806"/>
            <w:tcMar>
              <w:top w:w="60" w:type="dxa"/>
              <w:bottom w:w="60" w:type="dxa"/>
              <w:left w:w="80" w:type="dxa"/>
              <w:right w:w="80" w:type="dxa"/>
            </w:tcMar>
          </w:tcPr>
          <w:p>
            <w:pPr>
              <w:spacing w:after="40"/>
            </w:pPr>
            <w:r>
              <w:rPr>
                <w:sz w:val="18"/>
              </w:rPr>
              <w:t>Compliant / Closed</w:t>
            </w:r>
          </w:p>
        </w:tc>
      </w:tr>
      <w:tr>
        <w:tc>
          <w:tcPr>
            <w:tcW w:type="dxa" w:w="1806"/>
            <w:tcMar>
              <w:top w:w="60" w:type="dxa"/>
              <w:bottom w:w="60" w:type="dxa"/>
              <w:left w:w="80" w:type="dxa"/>
              <w:right w:w="80" w:type="dxa"/>
            </w:tcMar>
            <w:shd w:fill="F8FAFC"/>
          </w:tcPr>
          <w:p>
            <w:pPr>
              <w:spacing w:after="40"/>
            </w:pPr>
            <w:r>
              <w:rPr>
                <w:b/>
                <w:sz w:val="18"/>
              </w:rPr>
              <w:t>MediRep (Proposed System)</w:t>
            </w:r>
          </w:p>
        </w:tc>
        <w:tc>
          <w:tcPr>
            <w:tcW w:type="dxa" w:w="1806"/>
            <w:tcMar>
              <w:top w:w="60" w:type="dxa"/>
              <w:bottom w:w="60" w:type="dxa"/>
              <w:left w:w="80" w:type="dxa"/>
              <w:right w:w="80" w:type="dxa"/>
            </w:tcMar>
          </w:tcPr>
          <w:p>
            <w:pPr>
              <w:spacing w:after="40"/>
            </w:pPr>
            <w:r>
              <w:rPr>
                <w:sz w:val="18"/>
              </w:rPr>
              <w:t>Hybrid Deterministic + NER</w:t>
            </w:r>
          </w:p>
        </w:tc>
        <w:tc>
          <w:tcPr>
            <w:tcW w:type="dxa" w:w="1806"/>
            <w:tcMar>
              <w:top w:w="60" w:type="dxa"/>
              <w:bottom w:w="60" w:type="dxa"/>
              <w:left w:w="80" w:type="dxa"/>
              <w:right w:w="80" w:type="dxa"/>
            </w:tcMar>
          </w:tcPr>
          <w:p>
            <w:pPr>
              <w:spacing w:after="40"/>
            </w:pPr>
            <w:r>
              <w:rPr>
                <w:sz w:val="18"/>
              </w:rPr>
              <w:t>Yes (Strict interval math)</w:t>
            </w:r>
          </w:p>
        </w:tc>
        <w:tc>
          <w:tcPr>
            <w:tcW w:type="dxa" w:w="1806"/>
            <w:tcMar>
              <w:top w:w="60" w:type="dxa"/>
              <w:bottom w:w="60" w:type="dxa"/>
              <w:left w:w="80" w:type="dxa"/>
              <w:right w:w="80" w:type="dxa"/>
            </w:tcMar>
          </w:tcPr>
          <w:p>
            <w:pPr>
              <w:spacing w:after="40"/>
            </w:pPr>
            <w:r>
              <w:rPr>
                <w:sz w:val="18"/>
              </w:rPr>
              <w:t>Yes (5 Assertion States)</w:t>
            </w:r>
          </w:p>
        </w:tc>
        <w:tc>
          <w:tcPr>
            <w:tcW w:type="dxa" w:w="1806"/>
            <w:tcMar>
              <w:top w:w="60" w:type="dxa"/>
              <w:bottom w:w="60" w:type="dxa"/>
              <w:left w:w="80" w:type="dxa"/>
              <w:right w:w="80" w:type="dxa"/>
            </w:tcMar>
          </w:tcPr>
          <w:p>
            <w:pPr>
              <w:spacing w:after="40"/>
            </w:pPr>
            <w:r>
              <w:rPr>
                <w:b/>
                <w:sz w:val="18"/>
              </w:rPr>
              <w:t>Yes (100% In-Memory RAM)</w:t>
            </w:r>
          </w:p>
        </w:tc>
      </w:tr>
    </w:tbl>
    <w:tbl>
      <w:tblPr>
        <w:tblW w:type="auto" w:w="0"/>
        <w:jc w:val="center"/>
        <w:tblLook w:firstColumn="1" w:firstRow="1" w:lastColumn="0" w:lastRow="0" w:noHBand="0" w:noVBand="1" w:val="04A0"/>
      </w:tblPr>
      <w:tblGrid>
        <w:gridCol w:w="9029"/>
      </w:tblGrid>
      <w:tr>
        <w:tc>
          <w:tcPr>
            <w:tcW w:type="dxa" w:w="9029"/>
            <w:shd w:fill="F1F5F9"/>
            <w:tcMar>
              <w:top w:w="140" w:type="dxa"/>
              <w:bottom w:w="140" w:type="dxa"/>
              <w:left w:w="200" w:type="dxa"/>
              <w:right w:w="200" w:type="dxa"/>
            </w:tcMar>
          </w:tcPr>
          <w:p>
            <w:pPr>
              <w:spacing w:line="276" w:lineRule="auto" w:after="40"/>
            </w:pPr>
            <w:r>
              <w:rPr>
                <w:rFonts w:ascii="Times New Roman" w:hAnsi="Times New Roman"/>
                <w:b/>
                <w:color w:val="0F172A"/>
                <w:sz w:val="22"/>
              </w:rPr>
              <w:t>Key Research Takeaway</w:t>
              <w:br/>
            </w:r>
            <w:r>
              <w:rPr>
                <w:rFonts w:ascii="Times New Roman" w:hAnsi="Times New Roman"/>
                <w:i/>
                <w:sz w:val="21"/>
              </w:rPr>
              <w:t>Summary: Existing models either lack numeric interval precision, ignore clinical negation, or expose private patient data to third parties. MediRep uniquely resolves all three limitations through its hybrid deterministic and zero-retention framework.</w:t>
            </w:r>
          </w:p>
        </w:tc>
      </w:tr>
    </w:tbl>
    <w:p>
      <w:pPr>
        <w:spacing w:before="80" w:after="80"/>
      </w:pPr>
    </w:p>
    <w:p>
      <w:pPr>
        <w:keepNext/>
        <w:spacing w:before="320" w:after="120"/>
      </w:pPr>
      <w:r>
        <w:rPr>
          <w:rFonts w:ascii="Times New Roman" w:hAnsi="Times New Roman"/>
          <w:b/>
          <w:color w:val="1E3A8A"/>
          <w:sz w:val="30"/>
        </w:rPr>
        <w:t>4. Proposed System &amp; Methodology</w:t>
      </w:r>
    </w:p>
    <w:p>
      <w:pPr>
        <w:keepNext/>
        <w:spacing w:before="240" w:after="80"/>
      </w:pPr>
      <w:r>
        <w:rPr>
          <w:rFonts w:ascii="Times New Roman" w:hAnsi="Times New Roman"/>
          <w:b/>
          <w:color w:val="334155"/>
          <w:sz w:val="26"/>
        </w:rPr>
        <w:t>4.1 System Overview &amp; Architecture</w:t>
      </w:r>
    </w:p>
    <w:p>
      <w:pPr>
        <w:spacing w:line="276" w:lineRule="auto" w:after="120"/>
        <w:jc w:val="both"/>
      </w:pPr>
      <w:r>
        <w:rPr>
          <w:rFonts w:ascii="Times New Roman" w:hAnsi="Times New Roman"/>
          <w:sz w:val="22"/>
        </w:rPr>
        <w:t>MediRep is structured as a decoupled, full-stack micro-architecture comprising an interactive Single Page Application (SPA) built with React 19, TypeScript, and Tailwind CSS v4, communicating with a high-throughput asynchronous REST API built with FastAPI, Uvicorn, and Python 3.13. The architecture adheres to clean separation of concerns:</w:t>
      </w:r>
    </w:p>
    <w:p>
      <w:pPr>
        <w:pStyle w:val="ListBullet"/>
        <w:spacing w:line="276" w:lineRule="auto" w:after="80"/>
        <w:ind w:left="360"/>
      </w:pPr>
      <w:r>
        <w:rPr>
          <w:rFonts w:ascii="Times New Roman" w:hAnsi="Times New Roman"/>
          <w:b/>
          <w:sz w:val="22"/>
        </w:rPr>
        <w:t xml:space="preserve">1. Client: </w:t>
      </w:r>
      <w:r>
        <w:rPr>
          <w:rFonts w:ascii="Times New Roman" w:hAnsi="Times New Roman"/>
          <w:sz w:val="22"/>
        </w:rPr>
        <w:t>Presentation Layer (Frontend SPA): Provides a responsive glassmorphism interface, drag-and-drop file ingestion, dynamic status polling, comprehensive results visualization, and SVG trajectory graphs.</w:t>
      </w:r>
    </w:p>
    <w:p>
      <w:pPr>
        <w:pStyle w:val="ListBullet"/>
        <w:spacing w:line="276" w:lineRule="auto" w:after="80"/>
        <w:ind w:left="360"/>
      </w:pPr>
      <w:r>
        <w:rPr>
          <w:rFonts w:ascii="Times New Roman" w:hAnsi="Times New Roman"/>
          <w:b/>
          <w:sz w:val="22"/>
        </w:rPr>
        <w:t xml:space="preserve">2. Server API: </w:t>
      </w:r>
      <w:r>
        <w:rPr>
          <w:rFonts w:ascii="Times New Roman" w:hAnsi="Times New Roman"/>
          <w:sz w:val="22"/>
        </w:rPr>
        <w:t>API &amp; Controller Layer (FastAPI): Validates MIME types, parses multi-part uploads, schedules background worker tasks, and enforces RESTful response contracts.</w:t>
      </w:r>
    </w:p>
    <w:p>
      <w:pPr>
        <w:pStyle w:val="ListBullet"/>
        <w:spacing w:line="276" w:lineRule="auto" w:after="80"/>
        <w:ind w:left="360"/>
      </w:pPr>
      <w:r>
        <w:rPr>
          <w:rFonts w:ascii="Times New Roman" w:hAnsi="Times New Roman"/>
          <w:b/>
          <w:sz w:val="22"/>
        </w:rPr>
        <w:t xml:space="preserve">3. Ingestion Engine: </w:t>
      </w:r>
      <w:r>
        <w:rPr>
          <w:rFonts w:ascii="Times New Roman" w:hAnsi="Times New Roman"/>
          <w:sz w:val="22"/>
        </w:rPr>
        <w:t>Document Ingestion &amp; OCR Subsystem: Performs in-memory PyMuPDF extraction for digital PDFs and Tesseract OCR rasterization for scanned physical reports.</w:t>
      </w:r>
    </w:p>
    <w:p>
      <w:pPr>
        <w:pStyle w:val="ListBullet"/>
        <w:spacing w:line="276" w:lineRule="auto" w:after="80"/>
        <w:ind w:left="360"/>
      </w:pPr>
      <w:r>
        <w:rPr>
          <w:rFonts w:ascii="Times New Roman" w:hAnsi="Times New Roman"/>
          <w:b/>
          <w:sz w:val="22"/>
        </w:rPr>
        <w:t xml:space="preserve">4. Deterministic Engine: </w:t>
      </w:r>
      <w:r>
        <w:rPr>
          <w:rFonts w:ascii="Times New Roman" w:hAnsi="Times New Roman"/>
          <w:sz w:val="22"/>
        </w:rPr>
        <w:t>Deterministic Range Comparison Engine: Executes regex parameter extraction and evaluates numeric findings strictly against report-printed reference bounds.</w:t>
      </w:r>
    </w:p>
    <w:p>
      <w:pPr>
        <w:pStyle w:val="ListBullet"/>
        <w:spacing w:line="276" w:lineRule="auto" w:after="80"/>
        <w:ind w:left="360"/>
      </w:pPr>
      <w:r>
        <w:rPr>
          <w:rFonts w:ascii="Times New Roman" w:hAnsi="Times New Roman"/>
          <w:b/>
          <w:sz w:val="22"/>
        </w:rPr>
        <w:t xml:space="preserve">5. NLP Engine: </w:t>
      </w:r>
      <w:r>
        <w:rPr>
          <w:rFonts w:ascii="Times New Roman" w:hAnsi="Times New Roman"/>
          <w:sz w:val="22"/>
        </w:rPr>
        <w:t>Biomedical Named Entity Recognition (NER) Subsystem: Identifies clinical terms across 8 taxonomy categories and maps them to consumer-friendly explanations.</w:t>
      </w:r>
    </w:p>
    <w:p>
      <w:pPr>
        <w:pStyle w:val="ListBullet"/>
        <w:spacing w:line="276" w:lineRule="auto" w:after="80"/>
        <w:ind w:left="360"/>
      </w:pPr>
      <w:r>
        <w:rPr>
          <w:rFonts w:ascii="Times New Roman" w:hAnsi="Times New Roman"/>
          <w:b/>
          <w:sz w:val="22"/>
        </w:rPr>
        <w:t xml:space="preserve">6. Trend Tracker: </w:t>
      </w:r>
      <w:r>
        <w:rPr>
          <w:rFonts w:ascii="Times New Roman" w:hAnsi="Times New Roman"/>
          <w:sz w:val="22"/>
        </w:rPr>
        <w:t>Longitudinal Health Tracker: Aggregates serial diagnostic data across time, computing deltas and rendering interactive trajectory curves.</w:t>
      </w:r>
    </w:p>
    <w:p>
      <w:pPr>
        <w:keepNext/>
        <w:spacing w:before="240" w:after="80"/>
      </w:pPr>
      <w:r>
        <w:rPr>
          <w:rFonts w:ascii="Times New Roman" w:hAnsi="Times New Roman"/>
          <w:b/>
          <w:color w:val="334155"/>
          <w:sz w:val="26"/>
        </w:rPr>
        <w:t>4.2 Dataset Description &amp; Grounding (`eval/`)</w:t>
      </w:r>
    </w:p>
    <w:p>
      <w:pPr>
        <w:spacing w:line="276" w:lineRule="auto" w:after="120"/>
        <w:jc w:val="both"/>
      </w:pPr>
      <w:r>
        <w:rPr>
          <w:rFonts w:ascii="Times New Roman" w:hAnsi="Times New Roman"/>
          <w:sz w:val="22"/>
        </w:rPr>
        <w:t>To ground MediRep in authentic medical records, the project incorporates a comprehensive evaluation dataset derived from two respected medical archives, adapted from Kaggle research (`notebook6b09c9c4d8`):</w:t>
      </w:r>
    </w:p>
    <w:p>
      <w:pPr>
        <w:pStyle w:val="ListBullet"/>
        <w:spacing w:line="276" w:lineRule="auto" w:after="80"/>
        <w:ind w:left="360"/>
      </w:pPr>
      <w:r>
        <w:rPr>
          <w:rFonts w:ascii="Times New Roman" w:hAnsi="Times New Roman"/>
          <w:b/>
          <w:sz w:val="22"/>
        </w:rPr>
        <w:t xml:space="preserve">Dataset A: </w:t>
      </w:r>
      <w:r>
        <w:rPr>
          <w:rFonts w:ascii="Times New Roman" w:hAnsi="Times New Roman"/>
          <w:sz w:val="22"/>
        </w:rPr>
        <w:t>MTSamples Clinical Transcriptions: 2,336 cleaned records spanning 40 medical specialties (Orthopedics, Cardiology, Allergy, Surgery, Endocrinology). Each record contains detailed clinical narratives, past medical histories, and physical examinations.</w:t>
      </w:r>
    </w:p>
    <w:p>
      <w:pPr>
        <w:pStyle w:val="ListBullet"/>
        <w:spacing w:line="276" w:lineRule="auto" w:after="80"/>
        <w:ind w:left="360"/>
      </w:pPr>
      <w:r>
        <w:rPr>
          <w:rFonts w:ascii="Times New Roman" w:hAnsi="Times New Roman"/>
          <w:b/>
          <w:sz w:val="22"/>
        </w:rPr>
        <w:t xml:space="preserve">Dataset B: </w:t>
      </w:r>
      <w:r>
        <w:rPr>
          <w:rFonts w:ascii="Times New Roman" w:hAnsi="Times New Roman"/>
          <w:sz w:val="22"/>
        </w:rPr>
        <w:t>Indiana University Hospital Chest X-Ray Archive (NLM/NIH): 3,835 cleaned radiology records extracted from 3,955 hospital XML files. Each report includes parsed sections for Indication, Findings, and Impression.</w:t>
      </w:r>
    </w:p>
    <w:p>
      <w:pPr>
        <w:pStyle w:val="ListBullet"/>
        <w:spacing w:line="276" w:lineRule="auto" w:after="80"/>
        <w:ind w:left="360"/>
      </w:pPr>
      <w:r>
        <w:rPr>
          <w:rFonts w:ascii="Times New Roman" w:hAnsi="Times New Roman"/>
          <w:b/>
          <w:sz w:val="22"/>
        </w:rPr>
        <w:t xml:space="preserve">Combined Dataset: </w:t>
      </w:r>
      <w:r>
        <w:rPr>
          <w:rFonts w:ascii="Times New Roman" w:hAnsi="Times New Roman"/>
          <w:sz w:val="22"/>
        </w:rPr>
        <w:t>Combined Medical Reports Clean: 6,168 deduplicated, normalized medical reports with standardized report IDs (`MED_00001` through `MED_06168`), source tags, and calculated character lengths.</w:t>
      </w:r>
    </w:p>
    <w:p>
      <w:pPr>
        <w:pStyle w:val="ListBullet"/>
        <w:spacing w:line="276" w:lineRule="auto" w:after="80"/>
        <w:ind w:left="360"/>
      </w:pPr>
      <w:r>
        <w:rPr>
          <w:rFonts w:ascii="Times New Roman" w:hAnsi="Times New Roman"/>
          <w:b/>
          <w:sz w:val="22"/>
        </w:rPr>
        <w:t xml:space="preserve">Evaluation Splits: </w:t>
      </w:r>
      <w:r>
        <w:rPr>
          <w:rFonts w:ascii="Times New Roman" w:hAnsi="Times New Roman"/>
          <w:sz w:val="22"/>
        </w:rPr>
        <w:t>Canonical Dataset Splits: The combined dataset is partitioned into Training (5,551 reports, 90%), Validation (308 reports, 5%), and Testing (309 reports, 5%) splits for benchmark evaluation.</w:t>
      </w:r>
    </w:p>
    <w:tbl>
      <w:tblPr>
        <w:tblW w:type="auto" w:w="0"/>
        <w:jc w:val="center"/>
        <w:tblLook w:firstColumn="1" w:firstRow="1" w:lastColumn="0" w:lastRow="0" w:noHBand="0" w:noVBand="1" w:val="04A0"/>
      </w:tblPr>
      <w:tblGrid>
        <w:gridCol w:w="2257"/>
        <w:gridCol w:w="2257"/>
        <w:gridCol w:w="2257"/>
        <w:gridCol w:w="2257"/>
      </w:tblGrid>
      <w:tr>
        <w:tc>
          <w:tcPr>
            <w:tcW w:type="dxa" w:w="2257"/>
            <w:shd w:fill="E2E8F0"/>
            <w:tcMar>
              <w:top w:w="80" w:type="dxa"/>
              <w:bottom w:w="80" w:type="dxa"/>
              <w:left w:w="100" w:type="dxa"/>
              <w:right w:w="100" w:type="dxa"/>
            </w:tcMar>
          </w:tcPr>
          <w:p>
            <w:pPr>
              <w:jc w:val="center"/>
            </w:pPr>
            <w:r>
              <w:rPr>
                <w:b/>
                <w:sz w:val="19"/>
              </w:rPr>
              <w:t>Dataset Partition</w:t>
            </w:r>
          </w:p>
        </w:tc>
        <w:tc>
          <w:tcPr>
            <w:tcW w:type="dxa" w:w="2257"/>
            <w:shd w:fill="E2E8F0"/>
            <w:tcMar>
              <w:top w:w="80" w:type="dxa"/>
              <w:bottom w:w="80" w:type="dxa"/>
              <w:left w:w="100" w:type="dxa"/>
              <w:right w:w="100" w:type="dxa"/>
            </w:tcMar>
          </w:tcPr>
          <w:p>
            <w:pPr>
              <w:jc w:val="center"/>
            </w:pPr>
            <w:r>
              <w:rPr>
                <w:b/>
                <w:sz w:val="19"/>
              </w:rPr>
              <w:t>Report Count</w:t>
            </w:r>
          </w:p>
        </w:tc>
        <w:tc>
          <w:tcPr>
            <w:tcW w:type="dxa" w:w="2257"/>
            <w:shd w:fill="E2E8F0"/>
            <w:tcMar>
              <w:top w:w="80" w:type="dxa"/>
              <w:bottom w:w="80" w:type="dxa"/>
              <w:left w:w="100" w:type="dxa"/>
              <w:right w:w="100" w:type="dxa"/>
            </w:tcMar>
          </w:tcPr>
          <w:p>
            <w:pPr>
              <w:jc w:val="center"/>
            </w:pPr>
            <w:r>
              <w:rPr>
                <w:b/>
                <w:sz w:val="19"/>
              </w:rPr>
              <w:t>Percentage</w:t>
            </w:r>
          </w:p>
        </w:tc>
        <w:tc>
          <w:tcPr>
            <w:tcW w:type="dxa" w:w="2257"/>
            <w:shd w:fill="E2E8F0"/>
            <w:tcMar>
              <w:top w:w="80" w:type="dxa"/>
              <w:bottom w:w="80" w:type="dxa"/>
              <w:left w:w="100" w:type="dxa"/>
              <w:right w:w="100" w:type="dxa"/>
            </w:tcMar>
          </w:tcPr>
          <w:p>
            <w:pPr>
              <w:jc w:val="center"/>
            </w:pPr>
            <w:r>
              <w:rPr>
                <w:b/>
                <w:sz w:val="19"/>
              </w:rPr>
              <w:t>Primary Function</w:t>
            </w:r>
          </w:p>
        </w:tc>
      </w:tr>
      <w:tr>
        <w:tc>
          <w:tcPr>
            <w:tcW w:type="dxa" w:w="2257"/>
            <w:tcMar>
              <w:top w:w="60" w:type="dxa"/>
              <w:bottom w:w="60" w:type="dxa"/>
              <w:left w:w="80" w:type="dxa"/>
              <w:right w:w="80" w:type="dxa"/>
            </w:tcMar>
          </w:tcPr>
          <w:p>
            <w:pPr>
              <w:spacing w:after="40"/>
            </w:pPr>
            <w:r>
              <w:rPr>
                <w:b/>
                <w:sz w:val="18"/>
              </w:rPr>
              <w:t>Training Set (`train.csv`)</w:t>
            </w:r>
          </w:p>
        </w:tc>
        <w:tc>
          <w:tcPr>
            <w:tcW w:type="dxa" w:w="2257"/>
            <w:tcMar>
              <w:top w:w="60" w:type="dxa"/>
              <w:bottom w:w="60" w:type="dxa"/>
              <w:left w:w="80" w:type="dxa"/>
              <w:right w:w="80" w:type="dxa"/>
            </w:tcMar>
          </w:tcPr>
          <w:p>
            <w:pPr>
              <w:spacing w:after="40"/>
            </w:pPr>
            <w:r>
              <w:rPr>
                <w:sz w:val="18"/>
              </w:rPr>
              <w:t>5,551</w:t>
            </w:r>
          </w:p>
        </w:tc>
        <w:tc>
          <w:tcPr>
            <w:tcW w:type="dxa" w:w="2257"/>
            <w:tcMar>
              <w:top w:w="60" w:type="dxa"/>
              <w:bottom w:w="60" w:type="dxa"/>
              <w:left w:w="80" w:type="dxa"/>
              <w:right w:w="80" w:type="dxa"/>
            </w:tcMar>
          </w:tcPr>
          <w:p>
            <w:pPr>
              <w:spacing w:after="40"/>
            </w:pPr>
            <w:r>
              <w:rPr>
                <w:sz w:val="18"/>
              </w:rPr>
              <w:t>90.0%</w:t>
            </w:r>
          </w:p>
        </w:tc>
        <w:tc>
          <w:tcPr>
            <w:tcW w:type="dxa" w:w="2257"/>
            <w:tcMar>
              <w:top w:w="60" w:type="dxa"/>
              <w:bottom w:w="60" w:type="dxa"/>
              <w:left w:w="80" w:type="dxa"/>
              <w:right w:w="80" w:type="dxa"/>
            </w:tcMar>
          </w:tcPr>
          <w:p>
            <w:pPr>
              <w:spacing w:after="40"/>
            </w:pPr>
            <w:r>
              <w:rPr>
                <w:sz w:val="18"/>
              </w:rPr>
              <w:t>Clinical entity lexicon construction and vocabulary discovery</w:t>
            </w:r>
          </w:p>
        </w:tc>
      </w:tr>
      <w:tr>
        <w:tc>
          <w:tcPr>
            <w:tcW w:type="dxa" w:w="2257"/>
            <w:tcMar>
              <w:top w:w="60" w:type="dxa"/>
              <w:bottom w:w="60" w:type="dxa"/>
              <w:left w:w="80" w:type="dxa"/>
              <w:right w:w="80" w:type="dxa"/>
            </w:tcMar>
          </w:tcPr>
          <w:p>
            <w:pPr>
              <w:spacing w:after="40"/>
            </w:pPr>
            <w:r>
              <w:rPr>
                <w:b/>
                <w:sz w:val="18"/>
              </w:rPr>
              <w:t>Validation Set (`val.csv`)</w:t>
            </w:r>
          </w:p>
        </w:tc>
        <w:tc>
          <w:tcPr>
            <w:tcW w:type="dxa" w:w="2257"/>
            <w:tcMar>
              <w:top w:w="60" w:type="dxa"/>
              <w:bottom w:w="60" w:type="dxa"/>
              <w:left w:w="80" w:type="dxa"/>
              <w:right w:w="80" w:type="dxa"/>
            </w:tcMar>
          </w:tcPr>
          <w:p>
            <w:pPr>
              <w:spacing w:after="40"/>
            </w:pPr>
            <w:r>
              <w:rPr>
                <w:sz w:val="18"/>
              </w:rPr>
              <w:t>308</w:t>
            </w:r>
          </w:p>
        </w:tc>
        <w:tc>
          <w:tcPr>
            <w:tcW w:type="dxa" w:w="2257"/>
            <w:tcMar>
              <w:top w:w="60" w:type="dxa"/>
              <w:bottom w:w="60" w:type="dxa"/>
              <w:left w:w="80" w:type="dxa"/>
              <w:right w:w="80" w:type="dxa"/>
            </w:tcMar>
          </w:tcPr>
          <w:p>
            <w:pPr>
              <w:spacing w:after="40"/>
            </w:pPr>
            <w:r>
              <w:rPr>
                <w:sz w:val="18"/>
              </w:rPr>
              <w:t>5.0%</w:t>
            </w:r>
          </w:p>
        </w:tc>
        <w:tc>
          <w:tcPr>
            <w:tcW w:type="dxa" w:w="2257"/>
            <w:tcMar>
              <w:top w:w="60" w:type="dxa"/>
              <w:bottom w:w="60" w:type="dxa"/>
              <w:left w:w="80" w:type="dxa"/>
              <w:right w:w="80" w:type="dxa"/>
            </w:tcMar>
          </w:tcPr>
          <w:p>
            <w:pPr>
              <w:spacing w:after="40"/>
            </w:pPr>
            <w:r>
              <w:rPr>
                <w:sz w:val="18"/>
              </w:rPr>
              <w:t>Threshold tuning and pattern validation</w:t>
            </w:r>
          </w:p>
        </w:tc>
      </w:tr>
      <w:tr>
        <w:tc>
          <w:tcPr>
            <w:tcW w:type="dxa" w:w="2257"/>
            <w:tcMar>
              <w:top w:w="60" w:type="dxa"/>
              <w:bottom w:w="60" w:type="dxa"/>
              <w:left w:w="80" w:type="dxa"/>
              <w:right w:w="80" w:type="dxa"/>
            </w:tcMar>
          </w:tcPr>
          <w:p>
            <w:pPr>
              <w:spacing w:after="40"/>
            </w:pPr>
            <w:r>
              <w:rPr>
                <w:b/>
                <w:sz w:val="18"/>
              </w:rPr>
              <w:t>Testing Set (`test.csv`)</w:t>
            </w:r>
          </w:p>
        </w:tc>
        <w:tc>
          <w:tcPr>
            <w:tcW w:type="dxa" w:w="2257"/>
            <w:tcMar>
              <w:top w:w="60" w:type="dxa"/>
              <w:bottom w:w="60" w:type="dxa"/>
              <w:left w:w="80" w:type="dxa"/>
              <w:right w:w="80" w:type="dxa"/>
            </w:tcMar>
          </w:tcPr>
          <w:p>
            <w:pPr>
              <w:spacing w:after="40"/>
            </w:pPr>
            <w:r>
              <w:rPr>
                <w:sz w:val="18"/>
              </w:rPr>
              <w:t>309</w:t>
            </w:r>
          </w:p>
        </w:tc>
        <w:tc>
          <w:tcPr>
            <w:tcW w:type="dxa" w:w="2257"/>
            <w:tcMar>
              <w:top w:w="60" w:type="dxa"/>
              <w:bottom w:w="60" w:type="dxa"/>
              <w:left w:w="80" w:type="dxa"/>
              <w:right w:w="80" w:type="dxa"/>
            </w:tcMar>
          </w:tcPr>
          <w:p>
            <w:pPr>
              <w:spacing w:after="40"/>
            </w:pPr>
            <w:r>
              <w:rPr>
                <w:sz w:val="18"/>
              </w:rPr>
              <w:t>5.0%</w:t>
            </w:r>
          </w:p>
        </w:tc>
        <w:tc>
          <w:tcPr>
            <w:tcW w:type="dxa" w:w="2257"/>
            <w:tcMar>
              <w:top w:w="60" w:type="dxa"/>
              <w:bottom w:w="60" w:type="dxa"/>
              <w:left w:w="80" w:type="dxa"/>
              <w:right w:w="80" w:type="dxa"/>
            </w:tcMar>
          </w:tcPr>
          <w:p>
            <w:pPr>
              <w:spacing w:after="40"/>
            </w:pPr>
            <w:r>
              <w:rPr>
                <w:sz w:val="18"/>
              </w:rPr>
              <w:t>Independent pipeline accuracy and extraction benchmarking</w:t>
            </w:r>
          </w:p>
        </w:tc>
      </w:tr>
      <w:tr>
        <w:tc>
          <w:tcPr>
            <w:tcW w:type="dxa" w:w="2257"/>
            <w:tcMar>
              <w:top w:w="60" w:type="dxa"/>
              <w:bottom w:w="60" w:type="dxa"/>
              <w:left w:w="80" w:type="dxa"/>
              <w:right w:w="80" w:type="dxa"/>
            </w:tcMar>
            <w:shd w:fill="F1F5F9"/>
          </w:tcPr>
          <w:p>
            <w:pPr>
              <w:spacing w:after="40"/>
            </w:pPr>
            <w:r>
              <w:rPr>
                <w:b/>
                <w:sz w:val="18"/>
              </w:rPr>
              <w:t>Total Combined Dataset</w:t>
            </w:r>
          </w:p>
        </w:tc>
        <w:tc>
          <w:tcPr>
            <w:tcW w:type="dxa" w:w="2257"/>
            <w:tcMar>
              <w:top w:w="60" w:type="dxa"/>
              <w:bottom w:w="60" w:type="dxa"/>
              <w:left w:w="80" w:type="dxa"/>
              <w:right w:w="80" w:type="dxa"/>
            </w:tcMar>
            <w:shd w:fill="F1F5F9"/>
          </w:tcPr>
          <w:p>
            <w:pPr>
              <w:spacing w:after="40"/>
            </w:pPr>
            <w:r>
              <w:rPr>
                <w:b/>
                <w:sz w:val="18"/>
              </w:rPr>
              <w:t>6,168</w:t>
            </w:r>
          </w:p>
        </w:tc>
        <w:tc>
          <w:tcPr>
            <w:tcW w:type="dxa" w:w="2257"/>
            <w:tcMar>
              <w:top w:w="60" w:type="dxa"/>
              <w:bottom w:w="60" w:type="dxa"/>
              <w:left w:w="80" w:type="dxa"/>
              <w:right w:w="80" w:type="dxa"/>
            </w:tcMar>
            <w:shd w:fill="F1F5F9"/>
          </w:tcPr>
          <w:p>
            <w:pPr>
              <w:spacing w:after="40"/>
            </w:pPr>
            <w:r>
              <w:rPr>
                <w:b/>
                <w:sz w:val="18"/>
              </w:rPr>
              <w:t>100.0%</w:t>
            </w:r>
          </w:p>
        </w:tc>
        <w:tc>
          <w:tcPr>
            <w:tcW w:type="dxa" w:w="2257"/>
            <w:tcMar>
              <w:top w:w="60" w:type="dxa"/>
              <w:bottom w:w="60" w:type="dxa"/>
              <w:left w:w="80" w:type="dxa"/>
              <w:right w:w="80" w:type="dxa"/>
            </w:tcMar>
            <w:shd w:fill="F1F5F9"/>
          </w:tcPr>
          <w:p>
            <w:pPr>
              <w:spacing w:after="40"/>
            </w:pPr>
            <w:r>
              <w:rPr>
                <w:b/>
                <w:sz w:val="18"/>
              </w:rPr>
              <w:t>Unified corpus across 40 clinical specialties and radiology</w:t>
            </w:r>
          </w:p>
        </w:tc>
      </w:tr>
    </w:tbl>
    <w:p>
      <w:pPr>
        <w:keepNext/>
        <w:spacing w:before="240" w:after="80"/>
      </w:pPr>
      <w:r>
        <w:rPr>
          <w:rFonts w:ascii="Times New Roman" w:hAnsi="Times New Roman"/>
          <w:b/>
          <w:color w:val="334155"/>
          <w:sz w:val="26"/>
        </w:rPr>
        <w:t>4.3 Clinical Entity Taxonomy &amp; Annotation Schemas</w:t>
      </w:r>
    </w:p>
    <w:p>
      <w:pPr>
        <w:spacing w:line="276" w:lineRule="auto" w:after="120"/>
        <w:jc w:val="both"/>
      </w:pPr>
      <w:r>
        <w:rPr>
          <w:rFonts w:ascii="Times New Roman" w:hAnsi="Times New Roman"/>
          <w:sz w:val="22"/>
        </w:rPr>
        <w:t>MediRep strictly aligns with the formal annotation schema established in `eval/schemas/medical_ner_annotation_schema.json`. The schema categorizes clinical entities into 8 distinct functional classes:</w:t>
      </w:r>
    </w:p>
    <w:p>
      <w:pPr>
        <w:pStyle w:val="ListBullet"/>
        <w:spacing w:line="276" w:lineRule="auto" w:after="80"/>
        <w:ind w:left="360"/>
      </w:pPr>
      <w:r>
        <w:rPr>
          <w:rFonts w:ascii="Times New Roman" w:hAnsi="Times New Roman"/>
          <w:b/>
          <w:sz w:val="22"/>
        </w:rPr>
        <w:t xml:space="preserve">DISEASE: </w:t>
      </w:r>
      <w:r>
        <w:rPr>
          <w:rFonts w:ascii="Times New Roman" w:hAnsi="Times New Roman"/>
          <w:sz w:val="22"/>
        </w:rPr>
        <w:t>Pathological conditions, chronic disorders, and confirmed medical diagnoses (e.g., Anemia, Synovitis, Hypertension, Pneumonia, Diabetes).</w:t>
      </w:r>
    </w:p>
    <w:p>
      <w:pPr>
        <w:pStyle w:val="ListBullet"/>
        <w:spacing w:line="276" w:lineRule="auto" w:after="80"/>
        <w:ind w:left="360"/>
      </w:pPr>
      <w:r>
        <w:rPr>
          <w:rFonts w:ascii="Times New Roman" w:hAnsi="Times New Roman"/>
          <w:b/>
          <w:sz w:val="22"/>
        </w:rPr>
        <w:t xml:space="preserve">SYMPTOM: </w:t>
      </w:r>
      <w:r>
        <w:rPr>
          <w:rFonts w:ascii="Times New Roman" w:hAnsi="Times New Roman"/>
          <w:sz w:val="22"/>
        </w:rPr>
        <w:t>Subjective clinical complaints or observed physical signs (e.g., Left-sided weakness, Knee pain, Fever, Chills, Dyspnea, Fatigue).</w:t>
      </w:r>
    </w:p>
    <w:p>
      <w:pPr>
        <w:pStyle w:val="ListBullet"/>
        <w:spacing w:line="276" w:lineRule="auto" w:after="80"/>
        <w:ind w:left="360"/>
      </w:pPr>
      <w:r>
        <w:rPr>
          <w:rFonts w:ascii="Times New Roman" w:hAnsi="Times New Roman"/>
          <w:b/>
          <w:sz w:val="22"/>
        </w:rPr>
        <w:t xml:space="preserve">MEDICATION: </w:t>
      </w:r>
      <w:r>
        <w:rPr>
          <w:rFonts w:ascii="Times New Roman" w:hAnsi="Times New Roman"/>
          <w:sz w:val="22"/>
        </w:rPr>
        <w:t>Pharmaceutical formulations, active drugs, and therapeutic agents (e.g., Ibuprofen, Metformin, Lisinopril, Cortisone, Methadone).</w:t>
      </w:r>
    </w:p>
    <w:p>
      <w:pPr>
        <w:pStyle w:val="ListBullet"/>
        <w:spacing w:line="276" w:lineRule="auto" w:after="80"/>
        <w:ind w:left="360"/>
      </w:pPr>
      <w:r>
        <w:rPr>
          <w:rFonts w:ascii="Times New Roman" w:hAnsi="Times New Roman"/>
          <w:b/>
          <w:sz w:val="22"/>
        </w:rPr>
        <w:t xml:space="preserve">ANATOMY: </w:t>
      </w:r>
      <w:r>
        <w:rPr>
          <w:rFonts w:ascii="Times New Roman" w:hAnsi="Times New Roman"/>
          <w:sz w:val="22"/>
        </w:rPr>
        <w:t>Anatomical structures, joints, organs, and body regions (e.g., Left knee, Mandible, Wrist, Lungs, Heart, Abdomen).</w:t>
      </w:r>
    </w:p>
    <w:p>
      <w:pPr>
        <w:pStyle w:val="ListBullet"/>
        <w:spacing w:line="276" w:lineRule="auto" w:after="80"/>
        <w:ind w:left="360"/>
      </w:pPr>
      <w:r>
        <w:rPr>
          <w:rFonts w:ascii="Times New Roman" w:hAnsi="Times New Roman"/>
          <w:b/>
          <w:sz w:val="22"/>
        </w:rPr>
        <w:t xml:space="preserve">TEST: </w:t>
      </w:r>
      <w:r>
        <w:rPr>
          <w:rFonts w:ascii="Times New Roman" w:hAnsi="Times New Roman"/>
          <w:sz w:val="22"/>
        </w:rPr>
        <w:t>Diagnostic laboratory procedures, imaging studies, and screening tests (e.g., Complete Blood Count, Chest X-Ray, MRI, Blood Glucose).</w:t>
      </w:r>
    </w:p>
    <w:p>
      <w:pPr>
        <w:pStyle w:val="ListBullet"/>
        <w:spacing w:line="276" w:lineRule="auto" w:after="80"/>
        <w:ind w:left="360"/>
      </w:pPr>
      <w:r>
        <w:rPr>
          <w:rFonts w:ascii="Times New Roman" w:hAnsi="Times New Roman"/>
          <w:b/>
          <w:sz w:val="22"/>
        </w:rPr>
        <w:t xml:space="preserve">PROCEDURE: </w:t>
      </w:r>
      <w:r>
        <w:rPr>
          <w:rFonts w:ascii="Times New Roman" w:hAnsi="Times New Roman"/>
          <w:sz w:val="22"/>
        </w:rPr>
        <w:t>Surgical interventions, therapeutic operations, and biopsies (e.g., Arthroscopy, Biopsy, Resection, Appendectomy).</w:t>
      </w:r>
    </w:p>
    <w:p>
      <w:pPr>
        <w:pStyle w:val="ListBullet"/>
        <w:spacing w:line="276" w:lineRule="auto" w:after="80"/>
        <w:ind w:left="360"/>
      </w:pPr>
      <w:r>
        <w:rPr>
          <w:rFonts w:ascii="Times New Roman" w:hAnsi="Times New Roman"/>
          <w:b/>
          <w:sz w:val="22"/>
        </w:rPr>
        <w:t xml:space="preserve">PATHOGEN: </w:t>
      </w:r>
      <w:r>
        <w:rPr>
          <w:rFonts w:ascii="Times New Roman" w:hAnsi="Times New Roman"/>
          <w:sz w:val="22"/>
        </w:rPr>
        <w:t>Microbiological infectious organisms, bacteria, and viruses (e.g., Streptococcus, Influenza, SARS-CoV-2).</w:t>
      </w:r>
    </w:p>
    <w:p>
      <w:pPr>
        <w:pStyle w:val="ListBullet"/>
        <w:spacing w:line="276" w:lineRule="auto" w:after="80"/>
        <w:ind w:left="360"/>
      </w:pPr>
      <w:r>
        <w:rPr>
          <w:rFonts w:ascii="Times New Roman" w:hAnsi="Times New Roman"/>
          <w:b/>
          <w:sz w:val="22"/>
        </w:rPr>
        <w:t xml:space="preserve">RADIOLOGICAL_FINDING: </w:t>
      </w:r>
      <w:r>
        <w:rPr>
          <w:rFonts w:ascii="Times New Roman" w:hAnsi="Times New Roman"/>
          <w:sz w:val="22"/>
        </w:rPr>
        <w:t>Specific radiographical features observed in medical imaging (e.g., Airspace consolidation, Pleural effusion, Atelectasis, Opacity).</w:t>
      </w:r>
    </w:p>
    <w:p>
      <w:pPr>
        <w:spacing w:line="276" w:lineRule="auto" w:after="120"/>
        <w:jc w:val="both"/>
      </w:pPr>
      <w:r>
        <w:rPr>
          <w:rFonts w:ascii="Times New Roman" w:hAnsi="Times New Roman"/>
          <w:sz w:val="22"/>
        </w:rPr>
        <w:t>Additionally, MediRep implements the assertion taxonomy defined in `eval/schemas/medical_ner_assertion_schema.json`. This distinguishes whether an entity is explicitly PRESENT, negated as ABSENT (e.g., 'No pneumothorax'), UNCERTAIN (e.g., 'Possible infiltrate'), HISTORICAL, or NOT_SPECIFIED.</w:t>
      </w:r>
    </w:p>
    <w:p>
      <w:pPr>
        <w:keepNext/>
        <w:spacing w:before="240" w:after="80"/>
      </w:pPr>
      <w:r>
        <w:rPr>
          <w:rFonts w:ascii="Times New Roman" w:hAnsi="Times New Roman"/>
          <w:b/>
          <w:color w:val="334155"/>
          <w:sz w:val="26"/>
        </w:rPr>
        <w:t>4.4 Detailed Pipeline Workflow</w:t>
      </w:r>
    </w:p>
    <w:p>
      <w:pPr>
        <w:spacing w:line="276" w:lineRule="auto" w:after="120"/>
        <w:jc w:val="both"/>
      </w:pPr>
      <w:r>
        <w:rPr>
          <w:rFonts w:ascii="Times New Roman" w:hAnsi="Times New Roman"/>
          <w:sz w:val="22"/>
        </w:rPr>
        <w:t>When a user submits a diagnostic document, MediRep executes an automated 7-stage asynchronous pipeline:</w:t>
      </w:r>
    </w:p>
    <w:p>
      <w:pPr>
        <w:pStyle w:val="ListBullet"/>
        <w:spacing w:line="276" w:lineRule="auto" w:after="80"/>
        <w:ind w:left="360"/>
      </w:pPr>
      <w:r>
        <w:rPr>
          <w:rFonts w:ascii="Times New Roman" w:hAnsi="Times New Roman"/>
          <w:b/>
          <w:sz w:val="22"/>
        </w:rPr>
        <w:t xml:space="preserve">Stage 1 (Ingestion): </w:t>
      </w:r>
      <w:r>
        <w:rPr>
          <w:rFonts w:ascii="Times New Roman" w:hAnsi="Times New Roman"/>
          <w:sz w:val="22"/>
        </w:rPr>
        <w:t>Document Validation &amp; Format Detection: The server verifies MIME types and file extensions (.txt, .pdf, .png, .jpg), ensuring the file is under 10 MB. Digital PDFs are parsed via PyMuPDF; scanned documents trigger OCR pre-processing.</w:t>
      </w:r>
    </w:p>
    <w:p>
      <w:pPr>
        <w:pStyle w:val="ListBullet"/>
        <w:spacing w:line="276" w:lineRule="auto" w:after="80"/>
        <w:ind w:left="360"/>
      </w:pPr>
      <w:r>
        <w:rPr>
          <w:rFonts w:ascii="Times New Roman" w:hAnsi="Times New Roman"/>
          <w:b/>
          <w:sz w:val="22"/>
        </w:rPr>
        <w:t xml:space="preserve">Stage 2 (Lab Engine): </w:t>
      </w:r>
      <w:r>
        <w:rPr>
          <w:rFonts w:ascii="Times New Roman" w:hAnsi="Times New Roman"/>
          <w:sz w:val="22"/>
        </w:rPr>
        <w:t>Numeric Lab Extraction &amp; Interval Comparison: The text is scanned for numerical test lines matching the regular expression: `^([A-Za-z0-9 /().,_-]+):\s*([+-]?\d+(?:\.\d+)?)\s*([^\s(),;:]*)?`. Extracted values are compared strictly against the matched reference interval `([0-9.]+)\s*-\s*([0-9.]+)` to classify the finding as High, Low, or Normal.</w:t>
      </w:r>
    </w:p>
    <w:p>
      <w:pPr>
        <w:pStyle w:val="ListBullet"/>
        <w:spacing w:line="276" w:lineRule="auto" w:after="80"/>
        <w:ind w:left="360"/>
      </w:pPr>
      <w:r>
        <w:rPr>
          <w:rFonts w:ascii="Times New Roman" w:hAnsi="Times New Roman"/>
          <w:b/>
          <w:sz w:val="22"/>
        </w:rPr>
        <w:t xml:space="preserve">Stage 3 (NER): </w:t>
      </w:r>
      <w:r>
        <w:rPr>
          <w:rFonts w:ascii="Times New Roman" w:hAnsi="Times New Roman"/>
          <w:sz w:val="22"/>
        </w:rPr>
        <w:t>Clinical Named Entity Recognition: The document is matched against the 8-class clinical lexicon. Detected entity spans are tagged with clinical labels, character offsets, and model confidence scores.</w:t>
      </w:r>
    </w:p>
    <w:p>
      <w:pPr>
        <w:pStyle w:val="ListBullet"/>
        <w:spacing w:line="276" w:lineRule="auto" w:after="80"/>
        <w:ind w:left="360"/>
      </w:pPr>
      <w:r>
        <w:rPr>
          <w:rFonts w:ascii="Times New Roman" w:hAnsi="Times New Roman"/>
          <w:b/>
          <w:sz w:val="22"/>
        </w:rPr>
        <w:t xml:space="preserve">Stage 4 (Glossary): </w:t>
      </w:r>
      <w:r>
        <w:rPr>
          <w:rFonts w:ascii="Times New Roman" w:hAnsi="Times New Roman"/>
          <w:sz w:val="22"/>
        </w:rPr>
        <w:t>Glossary Definition &amp; Plain-Language Grounding: Recognized medical terms are mapped to consumer-friendly explanations calibrated to a 6th–8th grade Flesch-Kincaid readability level.</w:t>
      </w:r>
    </w:p>
    <w:p>
      <w:pPr>
        <w:pStyle w:val="ListBullet"/>
        <w:spacing w:line="276" w:lineRule="auto" w:after="80"/>
        <w:ind w:left="360"/>
      </w:pPr>
      <w:r>
        <w:rPr>
          <w:rFonts w:ascii="Times New Roman" w:hAnsi="Times New Roman"/>
          <w:b/>
          <w:sz w:val="22"/>
        </w:rPr>
        <w:t xml:space="preserve">Stage 5 (Safety): </w:t>
      </w:r>
      <w:r>
        <w:rPr>
          <w:rFonts w:ascii="Times New Roman" w:hAnsi="Times New Roman"/>
          <w:sz w:val="22"/>
        </w:rPr>
        <w:t>Clinical Safety &amp; Red Flag Detection: The pipeline scans for emergency panic terms (e.g., 'acute myocardial infarction', 'active hemorrhage', 'pulmonary embolism', 'critical panic value'). If triggered, an urgent alert banner is displayed and routine lifestyle recommendations are suppressed.</w:t>
      </w:r>
    </w:p>
    <w:p>
      <w:pPr>
        <w:pStyle w:val="ListBullet"/>
        <w:spacing w:line="276" w:lineRule="auto" w:after="80"/>
        <w:ind w:left="360"/>
      </w:pPr>
      <w:r>
        <w:rPr>
          <w:rFonts w:ascii="Times New Roman" w:hAnsi="Times New Roman"/>
          <w:b/>
          <w:sz w:val="22"/>
        </w:rPr>
        <w:t xml:space="preserve">Stage 6 (Guidance): </w:t>
      </w:r>
      <w:r>
        <w:rPr>
          <w:rFonts w:ascii="Times New Roman" w:hAnsi="Times New Roman"/>
          <w:sz w:val="22"/>
        </w:rPr>
        <w:t>Preventative Guidance &amp; Doctor Checklist: Based on abnormal lab findings and clinical entities, evidence-grounded diet, exercise, and precaution tips are generated, alongside tailored questions for the patient's next physician appointment.</w:t>
      </w:r>
    </w:p>
    <w:p>
      <w:pPr>
        <w:pStyle w:val="ListBullet"/>
        <w:spacing w:line="276" w:lineRule="auto" w:after="80"/>
        <w:ind w:left="360"/>
      </w:pPr>
      <w:r>
        <w:rPr>
          <w:rFonts w:ascii="Times New Roman" w:hAnsi="Times New Roman"/>
          <w:b/>
          <w:sz w:val="22"/>
        </w:rPr>
        <w:t xml:space="preserve">Stage 7 (Longitudinal): </w:t>
      </w:r>
      <w:r>
        <w:rPr>
          <w:rFonts w:ascii="Times New Roman" w:hAnsi="Times New Roman"/>
          <w:sz w:val="22"/>
        </w:rPr>
        <w:t>Longitudinal Health Aggregation: If numerical lab findings exist, the record is automatically saved into local longitudinal storage, updating the patient's time-series trend curves.</w:t>
      </w:r>
    </w:p>
    <w:p>
      <w:pPr>
        <w:keepNext/>
        <w:spacing w:before="320" w:after="120"/>
      </w:pPr>
      <w:r>
        <w:rPr>
          <w:rFonts w:ascii="Times New Roman" w:hAnsi="Times New Roman"/>
          <w:b/>
          <w:color w:val="1E3A8A"/>
          <w:sz w:val="30"/>
        </w:rPr>
        <w:t>5. Results &amp; Discussion</w:t>
      </w:r>
    </w:p>
    <w:p>
      <w:pPr>
        <w:spacing w:line="276" w:lineRule="auto" w:after="120"/>
        <w:jc w:val="both"/>
      </w:pPr>
      <w:r>
        <w:rPr>
          <w:rFonts w:ascii="Times New Roman" w:hAnsi="Times New Roman"/>
          <w:sz w:val="22"/>
        </w:rPr>
        <w:t>To evaluate MediRep's accuracy, clinical safety, and system efficiency, multiple testing protocols were executed: (1) Unit and integration testing of API endpoints; (2) Evaluation across diverse diagnostic test cases; (3) Validation of the Longitudinal Trend Tracker; and (4) System latency and resource benchmarks.</w:t>
      </w:r>
    </w:p>
    <w:p>
      <w:pPr>
        <w:keepNext/>
        <w:spacing w:before="240" w:after="80"/>
      </w:pPr>
      <w:r>
        <w:rPr>
          <w:rFonts w:ascii="Times New Roman" w:hAnsi="Times New Roman"/>
          <w:b/>
          <w:color w:val="334155"/>
          <w:sz w:val="26"/>
        </w:rPr>
        <w:t>5.1 Test Case Evaluations across Diagnostic Modalities</w:t>
      </w:r>
    </w:p>
    <w:p>
      <w:pPr>
        <w:spacing w:line="276" w:lineRule="auto" w:after="120"/>
        <w:jc w:val="both"/>
      </w:pPr>
      <w:r>
        <w:rPr>
          <w:rFonts w:ascii="Times New Roman" w:hAnsi="Times New Roman"/>
          <w:sz w:val="22"/>
        </w:rPr>
        <w:t>MediRep was evaluated against three authentic diagnostic test scenarios reflecting common clinical workflows:</w:t>
      </w:r>
    </w:p>
    <w:tbl>
      <w:tblPr>
        <w:tblW w:type="auto" w:w="0"/>
        <w:jc w:val="center"/>
        <w:tblLook w:firstColumn="1" w:firstRow="1" w:lastColumn="0" w:lastRow="0" w:noHBand="0" w:noVBand="1" w:val="04A0"/>
      </w:tblPr>
      <w:tblGrid>
        <w:gridCol w:w="1806"/>
        <w:gridCol w:w="1806"/>
        <w:gridCol w:w="1806"/>
        <w:gridCol w:w="1806"/>
        <w:gridCol w:w="1806"/>
      </w:tblGrid>
      <w:tr>
        <w:tc>
          <w:tcPr>
            <w:tcW w:type="dxa" w:w="1806"/>
            <w:shd w:fill="E2E8F0"/>
            <w:tcMar>
              <w:top w:w="80" w:type="dxa"/>
              <w:bottom w:w="80" w:type="dxa"/>
              <w:left w:w="100" w:type="dxa"/>
              <w:right w:w="100" w:type="dxa"/>
            </w:tcMar>
          </w:tcPr>
          <w:p>
            <w:pPr>
              <w:jc w:val="center"/>
            </w:pPr>
            <w:r>
              <w:rPr>
                <w:b/>
                <w:sz w:val="18"/>
              </w:rPr>
              <w:t>Case ID</w:t>
            </w:r>
          </w:p>
        </w:tc>
        <w:tc>
          <w:tcPr>
            <w:tcW w:type="dxa" w:w="1806"/>
            <w:shd w:fill="E2E8F0"/>
            <w:tcMar>
              <w:top w:w="80" w:type="dxa"/>
              <w:bottom w:w="80" w:type="dxa"/>
              <w:left w:w="100" w:type="dxa"/>
              <w:right w:w="100" w:type="dxa"/>
            </w:tcMar>
          </w:tcPr>
          <w:p>
            <w:pPr>
              <w:jc w:val="center"/>
            </w:pPr>
            <w:r>
              <w:rPr>
                <w:b/>
                <w:sz w:val="18"/>
              </w:rPr>
              <w:t>Modality / Specialty</w:t>
            </w:r>
          </w:p>
        </w:tc>
        <w:tc>
          <w:tcPr>
            <w:tcW w:type="dxa" w:w="1806"/>
            <w:shd w:fill="E2E8F0"/>
            <w:tcMar>
              <w:top w:w="80" w:type="dxa"/>
              <w:bottom w:w="80" w:type="dxa"/>
              <w:left w:w="100" w:type="dxa"/>
              <w:right w:w="100" w:type="dxa"/>
            </w:tcMar>
          </w:tcPr>
          <w:p>
            <w:pPr>
              <w:jc w:val="center"/>
            </w:pPr>
            <w:r>
              <w:rPr>
                <w:b/>
                <w:sz w:val="18"/>
              </w:rPr>
              <w:t>Input Excerpt</w:t>
            </w:r>
          </w:p>
        </w:tc>
        <w:tc>
          <w:tcPr>
            <w:tcW w:type="dxa" w:w="1806"/>
            <w:shd w:fill="E2E8F0"/>
            <w:tcMar>
              <w:top w:w="80" w:type="dxa"/>
              <w:bottom w:w="80" w:type="dxa"/>
              <w:left w:w="100" w:type="dxa"/>
              <w:right w:w="100" w:type="dxa"/>
            </w:tcMar>
          </w:tcPr>
          <w:p>
            <w:pPr>
              <w:jc w:val="center"/>
            </w:pPr>
            <w:r>
              <w:rPr>
                <w:b/>
                <w:sz w:val="18"/>
              </w:rPr>
              <w:t>AI Extracted Entities</w:t>
            </w:r>
          </w:p>
        </w:tc>
        <w:tc>
          <w:tcPr>
            <w:tcW w:type="dxa" w:w="1806"/>
            <w:shd w:fill="E2E8F0"/>
            <w:tcMar>
              <w:top w:w="80" w:type="dxa"/>
              <w:bottom w:w="80" w:type="dxa"/>
              <w:left w:w="100" w:type="dxa"/>
              <w:right w:w="100" w:type="dxa"/>
            </w:tcMar>
          </w:tcPr>
          <w:p>
            <w:pPr>
              <w:jc w:val="center"/>
            </w:pPr>
            <w:r>
              <w:rPr>
                <w:b/>
                <w:sz w:val="18"/>
              </w:rPr>
              <w:t>Evaluated Finding Status</w:t>
            </w:r>
          </w:p>
        </w:tc>
      </w:tr>
      <w:tr>
        <w:tc>
          <w:tcPr>
            <w:tcW w:type="dxa" w:w="1806"/>
            <w:tcMar>
              <w:top w:w="60" w:type="dxa"/>
              <w:bottom w:w="60" w:type="dxa"/>
              <w:left w:w="80" w:type="dxa"/>
              <w:right w:w="80" w:type="dxa"/>
            </w:tcMar>
          </w:tcPr>
          <w:p>
            <w:pPr>
              <w:spacing w:after="40"/>
            </w:pPr>
            <w:r>
              <w:rPr>
                <w:b/>
                <w:sz w:val="17"/>
              </w:rPr>
              <w:t>TC-01</w:t>
            </w:r>
          </w:p>
        </w:tc>
        <w:tc>
          <w:tcPr>
            <w:tcW w:type="dxa" w:w="1806"/>
            <w:tcMar>
              <w:top w:w="60" w:type="dxa"/>
              <w:bottom w:w="60" w:type="dxa"/>
              <w:left w:w="80" w:type="dxa"/>
              <w:right w:w="80" w:type="dxa"/>
            </w:tcMar>
          </w:tcPr>
          <w:p>
            <w:pPr>
              <w:spacing w:after="40"/>
            </w:pPr>
            <w:r>
              <w:rPr>
                <w:sz w:val="17"/>
              </w:rPr>
              <w:t>Complete Blood Count &amp; Metabolic Panel</w:t>
            </w:r>
          </w:p>
        </w:tc>
        <w:tc>
          <w:tcPr>
            <w:tcW w:type="dxa" w:w="1806"/>
            <w:tcMar>
              <w:top w:w="60" w:type="dxa"/>
              <w:bottom w:w="60" w:type="dxa"/>
              <w:left w:w="80" w:type="dxa"/>
              <w:right w:w="80" w:type="dxa"/>
            </w:tcMar>
          </w:tcPr>
          <w:p>
            <w:pPr>
              <w:spacing w:after="40"/>
            </w:pPr>
            <w:r>
              <w:rPr>
                <w:sz w:val="17"/>
              </w:rPr>
              <w:t>Hemoglobin: 11.2 g/dL (Range: 12.0 - 15.5)</w:t>
              <w:br/>
              <w:t>Fasting Glucose: 108 mg/dL (Range: 70 - 99)</w:t>
            </w:r>
          </w:p>
        </w:tc>
        <w:tc>
          <w:tcPr>
            <w:tcW w:type="dxa" w:w="1806"/>
            <w:tcMar>
              <w:top w:w="60" w:type="dxa"/>
              <w:bottom w:w="60" w:type="dxa"/>
              <w:left w:w="80" w:type="dxa"/>
              <w:right w:w="80" w:type="dxa"/>
            </w:tcMar>
          </w:tcPr>
          <w:p>
            <w:pPr>
              <w:spacing w:after="40"/>
            </w:pPr>
            <w:r>
              <w:rPr>
                <w:sz w:val="17"/>
              </w:rPr>
              <w:t>Hemoglobin [TEST], Fasting Glucose [TEST]</w:t>
            </w:r>
          </w:p>
        </w:tc>
        <w:tc>
          <w:tcPr>
            <w:tcW w:type="dxa" w:w="1806"/>
            <w:tcMar>
              <w:top w:w="60" w:type="dxa"/>
              <w:bottom w:w="60" w:type="dxa"/>
              <w:left w:w="80" w:type="dxa"/>
              <w:right w:w="80" w:type="dxa"/>
            </w:tcMar>
          </w:tcPr>
          <w:p>
            <w:pPr>
              <w:spacing w:after="40"/>
            </w:pPr>
            <w:r>
              <w:rPr>
                <w:sz w:val="17"/>
              </w:rPr>
              <w:t>Hemoglobin: LOW (11.2 &lt; 12.0)</w:t>
              <w:br/>
              <w:t>Glucose: HIGH (108 &gt; 99)</w:t>
              <w:br/>
              <w:t>WBC &amp; Platelets: NORMAL</w:t>
            </w:r>
          </w:p>
        </w:tc>
      </w:tr>
      <w:tr>
        <w:tc>
          <w:tcPr>
            <w:tcW w:type="dxa" w:w="1806"/>
            <w:tcMar>
              <w:top w:w="60" w:type="dxa"/>
              <w:bottom w:w="60" w:type="dxa"/>
              <w:left w:w="80" w:type="dxa"/>
              <w:right w:w="80" w:type="dxa"/>
            </w:tcMar>
          </w:tcPr>
          <w:p>
            <w:pPr>
              <w:spacing w:after="40"/>
            </w:pPr>
            <w:r>
              <w:rPr>
                <w:b/>
                <w:sz w:val="17"/>
              </w:rPr>
              <w:t>TC-02</w:t>
            </w:r>
          </w:p>
        </w:tc>
        <w:tc>
          <w:tcPr>
            <w:tcW w:type="dxa" w:w="1806"/>
            <w:tcMar>
              <w:top w:w="60" w:type="dxa"/>
              <w:bottom w:w="60" w:type="dxa"/>
              <w:left w:w="80" w:type="dxa"/>
              <w:right w:w="80" w:type="dxa"/>
            </w:tcMar>
          </w:tcPr>
          <w:p>
            <w:pPr>
              <w:spacing w:after="40"/>
            </w:pPr>
            <w:r>
              <w:rPr>
                <w:sz w:val="17"/>
              </w:rPr>
              <w:t>Orthopedic Consultation Note (MED_01635)</w:t>
            </w:r>
          </w:p>
        </w:tc>
        <w:tc>
          <w:tcPr>
            <w:tcW w:type="dxa" w:w="1806"/>
            <w:tcMar>
              <w:top w:w="60" w:type="dxa"/>
              <w:bottom w:w="60" w:type="dxa"/>
              <w:left w:w="80" w:type="dxa"/>
              <w:right w:w="80" w:type="dxa"/>
            </w:tcMar>
          </w:tcPr>
          <w:p>
            <w:pPr>
              <w:spacing w:after="40"/>
            </w:pPr>
            <w:r>
              <w:rPr>
                <w:sz w:val="17"/>
              </w:rPr>
              <w:t>Persistent left knee pain for 3 weeks. Anterior cruciate ligament tear and synovitis treated with ibuprofen.</w:t>
            </w:r>
          </w:p>
        </w:tc>
        <w:tc>
          <w:tcPr>
            <w:tcW w:type="dxa" w:w="1806"/>
            <w:tcMar>
              <w:top w:w="60" w:type="dxa"/>
              <w:bottom w:w="60" w:type="dxa"/>
              <w:left w:w="80" w:type="dxa"/>
              <w:right w:w="80" w:type="dxa"/>
            </w:tcMar>
          </w:tcPr>
          <w:p>
            <w:pPr>
              <w:spacing w:after="40"/>
            </w:pPr>
            <w:r>
              <w:rPr>
                <w:sz w:val="17"/>
              </w:rPr>
              <w:t>ACL tear [DISEASE], Synovitis [DISEASE], Left knee pain [SYMPTOM], Ibuprofen [MEDICATION]</w:t>
            </w:r>
          </w:p>
        </w:tc>
        <w:tc>
          <w:tcPr>
            <w:tcW w:type="dxa" w:w="1806"/>
            <w:tcMar>
              <w:top w:w="60" w:type="dxa"/>
              <w:bottom w:w="60" w:type="dxa"/>
              <w:left w:w="80" w:type="dxa"/>
              <w:right w:w="80" w:type="dxa"/>
            </w:tcMar>
          </w:tcPr>
          <w:p>
            <w:pPr>
              <w:spacing w:after="40"/>
            </w:pPr>
            <w:r>
              <w:rPr>
                <w:sz w:val="17"/>
              </w:rPr>
              <w:t>No numerical lab rows; 4 clinical entities successfully tagged; joint precautions generated</w:t>
            </w:r>
          </w:p>
        </w:tc>
      </w:tr>
      <w:tr>
        <w:tc>
          <w:tcPr>
            <w:tcW w:type="dxa" w:w="1806"/>
            <w:tcMar>
              <w:top w:w="60" w:type="dxa"/>
              <w:bottom w:w="60" w:type="dxa"/>
              <w:left w:w="80" w:type="dxa"/>
              <w:right w:w="80" w:type="dxa"/>
            </w:tcMar>
          </w:tcPr>
          <w:p>
            <w:pPr>
              <w:spacing w:after="40"/>
            </w:pPr>
            <w:r>
              <w:rPr>
                <w:b/>
                <w:sz w:val="17"/>
              </w:rPr>
              <w:t>TC-03</w:t>
            </w:r>
          </w:p>
        </w:tc>
        <w:tc>
          <w:tcPr>
            <w:tcW w:type="dxa" w:w="1806"/>
            <w:tcMar>
              <w:top w:w="60" w:type="dxa"/>
              <w:bottom w:w="60" w:type="dxa"/>
              <w:left w:w="80" w:type="dxa"/>
              <w:right w:w="80" w:type="dxa"/>
            </w:tcMar>
          </w:tcPr>
          <w:p>
            <w:pPr>
              <w:spacing w:after="40"/>
            </w:pPr>
            <w:r>
              <w:rPr>
                <w:sz w:val="17"/>
              </w:rPr>
              <w:t>Chest X-Ray Radiology Report (IU X-Ray)</w:t>
            </w:r>
          </w:p>
        </w:tc>
        <w:tc>
          <w:tcPr>
            <w:tcW w:type="dxa" w:w="1806"/>
            <w:tcMar>
              <w:top w:w="60" w:type="dxa"/>
              <w:bottom w:w="60" w:type="dxa"/>
              <w:left w:w="80" w:type="dxa"/>
              <w:right w:w="80" w:type="dxa"/>
            </w:tcMar>
          </w:tcPr>
          <w:p>
            <w:pPr>
              <w:spacing w:after="40"/>
            </w:pPr>
            <w:r>
              <w:rPr>
                <w:sz w:val="17"/>
              </w:rPr>
              <w:t>Findings: Airspace consolidation in right lower lobe. No pneumothorax. No pleural effusion.</w:t>
            </w:r>
          </w:p>
        </w:tc>
        <w:tc>
          <w:tcPr>
            <w:tcW w:type="dxa" w:w="1806"/>
            <w:tcMar>
              <w:top w:w="60" w:type="dxa"/>
              <w:bottom w:w="60" w:type="dxa"/>
              <w:left w:w="80" w:type="dxa"/>
              <w:right w:w="80" w:type="dxa"/>
            </w:tcMar>
          </w:tcPr>
          <w:p>
            <w:pPr>
              <w:spacing w:after="40"/>
            </w:pPr>
            <w:r>
              <w:rPr>
                <w:sz w:val="17"/>
              </w:rPr>
              <w:t>Airspace consolidation [RADIOLOGICAL_FINDING], Pneumothorax [DISEASE: ABSENT]</w:t>
            </w:r>
          </w:p>
        </w:tc>
        <w:tc>
          <w:tcPr>
            <w:tcW w:type="dxa" w:w="1806"/>
            <w:tcMar>
              <w:top w:w="60" w:type="dxa"/>
              <w:bottom w:w="60" w:type="dxa"/>
              <w:left w:w="80" w:type="dxa"/>
              <w:right w:w="80" w:type="dxa"/>
            </w:tcMar>
          </w:tcPr>
          <w:p>
            <w:pPr>
              <w:spacing w:after="40"/>
            </w:pPr>
            <w:r>
              <w:rPr>
                <w:sz w:val="17"/>
              </w:rPr>
              <w:t>Radiological finding confirmed; Pneumothorax correctly classified as ABSENT (Negated)</w:t>
            </w:r>
          </w:p>
        </w:tc>
      </w:tr>
    </w:tbl>
    <w:p>
      <w:pPr>
        <w:keepNext/>
        <w:spacing w:before="240" w:after="80"/>
      </w:pPr>
      <w:r>
        <w:rPr>
          <w:rFonts w:ascii="Times New Roman" w:hAnsi="Times New Roman"/>
          <w:b/>
          <w:color w:val="334155"/>
          <w:sz w:val="26"/>
        </w:rPr>
        <w:t>5.2 Longitudinal Trend Tracker Evaluation</w:t>
      </w:r>
    </w:p>
    <w:p>
      <w:pPr>
        <w:spacing w:line="276" w:lineRule="auto" w:after="120"/>
        <w:jc w:val="both"/>
      </w:pPr>
      <w:r>
        <w:rPr>
          <w:rFonts w:ascii="Times New Roman" w:hAnsi="Times New Roman"/>
          <w:sz w:val="22"/>
        </w:rPr>
        <w:t>A key innovation of MediRep is the Longitudinal Trend Tracker. In chronic conditions such as Anemia, Type 2 Diabetes, and Dyslipidemia, therapeutic progress is judged by trajectories rather than isolated measurements. To validate this feature, a 9-month clinical recovery journey comprising three sequential blood panels was evaluated:</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E2E8F0"/>
            <w:tcMar>
              <w:top w:w="80" w:type="dxa"/>
              <w:bottom w:w="80" w:type="dxa"/>
              <w:left w:w="80" w:type="dxa"/>
              <w:right w:w="80" w:type="dxa"/>
            </w:tcMar>
          </w:tcPr>
          <w:p>
            <w:pPr>
              <w:jc w:val="center"/>
            </w:pPr>
            <w:r>
              <w:rPr>
                <w:b/>
                <w:sz w:val="18"/>
              </w:rPr>
              <w:t>Biomarker</w:t>
            </w:r>
          </w:p>
        </w:tc>
        <w:tc>
          <w:tcPr>
            <w:tcW w:type="dxa" w:w="1505"/>
            <w:shd w:fill="E2E8F0"/>
            <w:tcMar>
              <w:top w:w="80" w:type="dxa"/>
              <w:bottom w:w="80" w:type="dxa"/>
              <w:left w:w="80" w:type="dxa"/>
              <w:right w:w="80" w:type="dxa"/>
            </w:tcMar>
          </w:tcPr>
          <w:p>
            <w:pPr>
              <w:jc w:val="center"/>
            </w:pPr>
            <w:r>
              <w:rPr>
                <w:b/>
                <w:sz w:val="18"/>
              </w:rPr>
              <w:t>Normal Ref Range</w:t>
            </w:r>
          </w:p>
        </w:tc>
        <w:tc>
          <w:tcPr>
            <w:tcW w:type="dxa" w:w="1505"/>
            <w:shd w:fill="E2E8F0"/>
            <w:tcMar>
              <w:top w:w="80" w:type="dxa"/>
              <w:bottom w:w="80" w:type="dxa"/>
              <w:left w:w="80" w:type="dxa"/>
              <w:right w:w="80" w:type="dxa"/>
            </w:tcMar>
          </w:tcPr>
          <w:p>
            <w:pPr>
              <w:jc w:val="center"/>
            </w:pPr>
            <w:r>
              <w:rPr>
                <w:b/>
                <w:sz w:val="18"/>
              </w:rPr>
              <w:t>Test 1 (Jan 2026)</w:t>
            </w:r>
          </w:p>
        </w:tc>
        <w:tc>
          <w:tcPr>
            <w:tcW w:type="dxa" w:w="1505"/>
            <w:shd w:fill="E2E8F0"/>
            <w:tcMar>
              <w:top w:w="80" w:type="dxa"/>
              <w:bottom w:w="80" w:type="dxa"/>
              <w:left w:w="80" w:type="dxa"/>
              <w:right w:w="80" w:type="dxa"/>
            </w:tcMar>
          </w:tcPr>
          <w:p>
            <w:pPr>
              <w:jc w:val="center"/>
            </w:pPr>
            <w:r>
              <w:rPr>
                <w:b/>
                <w:sz w:val="18"/>
              </w:rPr>
              <w:t>Test 2 (May 2026)</w:t>
            </w:r>
          </w:p>
        </w:tc>
        <w:tc>
          <w:tcPr>
            <w:tcW w:type="dxa" w:w="1505"/>
            <w:shd w:fill="E2E8F0"/>
            <w:tcMar>
              <w:top w:w="80" w:type="dxa"/>
              <w:bottom w:w="80" w:type="dxa"/>
              <w:left w:w="80" w:type="dxa"/>
              <w:right w:w="80" w:type="dxa"/>
            </w:tcMar>
          </w:tcPr>
          <w:p>
            <w:pPr>
              <w:jc w:val="center"/>
            </w:pPr>
            <w:r>
              <w:rPr>
                <w:b/>
                <w:sz w:val="18"/>
              </w:rPr>
              <w:t>Test 3 (Oct 2026)</w:t>
            </w:r>
          </w:p>
        </w:tc>
        <w:tc>
          <w:tcPr>
            <w:tcW w:type="dxa" w:w="1505"/>
            <w:shd w:fill="E2E8F0"/>
            <w:tcMar>
              <w:top w:w="80" w:type="dxa"/>
              <w:bottom w:w="80" w:type="dxa"/>
              <w:left w:w="80" w:type="dxa"/>
              <w:right w:w="80" w:type="dxa"/>
            </w:tcMar>
          </w:tcPr>
          <w:p>
            <w:pPr>
              <w:jc w:val="center"/>
            </w:pPr>
            <w:r>
              <w:rPr>
                <w:b/>
                <w:sz w:val="18"/>
              </w:rPr>
              <w:t>Overall Clinical Trajectory</w:t>
            </w:r>
          </w:p>
        </w:tc>
      </w:tr>
      <w:tr>
        <w:tc>
          <w:tcPr>
            <w:tcW w:type="dxa" w:w="1505"/>
            <w:tcMar>
              <w:top w:w="60" w:type="dxa"/>
              <w:bottom w:w="60" w:type="dxa"/>
              <w:left w:w="80" w:type="dxa"/>
              <w:right w:w="80" w:type="dxa"/>
            </w:tcMar>
          </w:tcPr>
          <w:p>
            <w:pPr>
              <w:spacing w:after="40"/>
            </w:pPr>
            <w:r>
              <w:rPr>
                <w:b/>
                <w:sz w:val="17"/>
              </w:rPr>
              <w:t>Hemoglobin</w:t>
            </w:r>
          </w:p>
        </w:tc>
        <w:tc>
          <w:tcPr>
            <w:tcW w:type="dxa" w:w="1505"/>
            <w:tcMar>
              <w:top w:w="60" w:type="dxa"/>
              <w:bottom w:w="60" w:type="dxa"/>
              <w:left w:w="80" w:type="dxa"/>
              <w:right w:w="80" w:type="dxa"/>
            </w:tcMar>
          </w:tcPr>
          <w:p>
            <w:pPr>
              <w:spacing w:after="40"/>
            </w:pPr>
            <w:r>
              <w:rPr>
                <w:sz w:val="17"/>
              </w:rPr>
              <w:t>12.0 - 15.5 g/dL</w:t>
            </w:r>
          </w:p>
        </w:tc>
        <w:tc>
          <w:tcPr>
            <w:tcW w:type="dxa" w:w="1505"/>
            <w:tcMar>
              <w:top w:w="60" w:type="dxa"/>
              <w:bottom w:w="60" w:type="dxa"/>
              <w:left w:w="80" w:type="dxa"/>
              <w:right w:w="80" w:type="dxa"/>
            </w:tcMar>
          </w:tcPr>
          <w:p>
            <w:pPr>
              <w:spacing w:after="40"/>
            </w:pPr>
            <w:r>
              <w:rPr>
                <w:sz w:val="17"/>
              </w:rPr>
              <w:t>10.2 g/dL [LOW]</w:t>
            </w:r>
          </w:p>
        </w:tc>
        <w:tc>
          <w:tcPr>
            <w:tcW w:type="dxa" w:w="1505"/>
            <w:tcMar>
              <w:top w:w="60" w:type="dxa"/>
              <w:bottom w:w="60" w:type="dxa"/>
              <w:left w:w="80" w:type="dxa"/>
              <w:right w:w="80" w:type="dxa"/>
            </w:tcMar>
          </w:tcPr>
          <w:p>
            <w:pPr>
              <w:spacing w:after="40"/>
            </w:pPr>
            <w:r>
              <w:rPr>
                <w:sz w:val="17"/>
              </w:rPr>
              <w:t>11.4 g/dL [LOW]</w:t>
            </w:r>
          </w:p>
        </w:tc>
        <w:tc>
          <w:tcPr>
            <w:tcW w:type="dxa" w:w="1505"/>
            <w:tcMar>
              <w:top w:w="60" w:type="dxa"/>
              <w:bottom w:w="60" w:type="dxa"/>
              <w:left w:w="80" w:type="dxa"/>
              <w:right w:w="80" w:type="dxa"/>
            </w:tcMar>
          </w:tcPr>
          <w:p>
            <w:pPr>
              <w:spacing w:after="40"/>
            </w:pPr>
            <w:r>
              <w:rPr>
                <w:sz w:val="17"/>
              </w:rPr>
              <w:t>13.8 g/dL [NORMAL]</w:t>
            </w:r>
          </w:p>
        </w:tc>
        <w:tc>
          <w:tcPr>
            <w:tcW w:type="dxa" w:w="1505"/>
            <w:tcMar>
              <w:top w:w="60" w:type="dxa"/>
              <w:bottom w:w="60" w:type="dxa"/>
              <w:left w:w="80" w:type="dxa"/>
              <w:right w:w="80" w:type="dxa"/>
            </w:tcMar>
            <w:shd w:fill="ECFDF5"/>
          </w:tcPr>
          <w:p>
            <w:pPr>
              <w:spacing w:after="40"/>
            </w:pPr>
            <w:r>
              <w:rPr>
                <w:sz w:val="17"/>
              </w:rPr>
              <w:t>Normalized (+3.6 g/dL, +35.3% recovery)</w:t>
            </w:r>
          </w:p>
        </w:tc>
      </w:tr>
      <w:tr>
        <w:tc>
          <w:tcPr>
            <w:tcW w:type="dxa" w:w="1505"/>
            <w:tcMar>
              <w:top w:w="60" w:type="dxa"/>
              <w:bottom w:w="60" w:type="dxa"/>
              <w:left w:w="80" w:type="dxa"/>
              <w:right w:w="80" w:type="dxa"/>
            </w:tcMar>
          </w:tcPr>
          <w:p>
            <w:pPr>
              <w:spacing w:after="40"/>
            </w:pPr>
            <w:r>
              <w:rPr>
                <w:b/>
                <w:sz w:val="17"/>
              </w:rPr>
              <w:t>Fasting Glucose</w:t>
            </w:r>
          </w:p>
        </w:tc>
        <w:tc>
          <w:tcPr>
            <w:tcW w:type="dxa" w:w="1505"/>
            <w:tcMar>
              <w:top w:w="60" w:type="dxa"/>
              <w:bottom w:w="60" w:type="dxa"/>
              <w:left w:w="80" w:type="dxa"/>
              <w:right w:w="80" w:type="dxa"/>
            </w:tcMar>
          </w:tcPr>
          <w:p>
            <w:pPr>
              <w:spacing w:after="40"/>
            </w:pPr>
            <w:r>
              <w:rPr>
                <w:sz w:val="17"/>
              </w:rPr>
              <w:t>70 - 99 mg/dL</w:t>
            </w:r>
          </w:p>
        </w:tc>
        <w:tc>
          <w:tcPr>
            <w:tcW w:type="dxa" w:w="1505"/>
            <w:tcMar>
              <w:top w:w="60" w:type="dxa"/>
              <w:bottom w:w="60" w:type="dxa"/>
              <w:left w:w="80" w:type="dxa"/>
              <w:right w:w="80" w:type="dxa"/>
            </w:tcMar>
          </w:tcPr>
          <w:p>
            <w:pPr>
              <w:spacing w:after="40"/>
            </w:pPr>
            <w:r>
              <w:rPr>
                <w:sz w:val="17"/>
              </w:rPr>
              <w:t>132 mg/dL [HIGH]</w:t>
            </w:r>
          </w:p>
        </w:tc>
        <w:tc>
          <w:tcPr>
            <w:tcW w:type="dxa" w:w="1505"/>
            <w:tcMar>
              <w:top w:w="60" w:type="dxa"/>
              <w:bottom w:w="60" w:type="dxa"/>
              <w:left w:w="80" w:type="dxa"/>
              <w:right w:w="80" w:type="dxa"/>
            </w:tcMar>
          </w:tcPr>
          <w:p>
            <w:pPr>
              <w:spacing w:after="40"/>
            </w:pPr>
            <w:r>
              <w:rPr>
                <w:sz w:val="17"/>
              </w:rPr>
              <w:t>115 mg/dL [HIGH]</w:t>
            </w:r>
          </w:p>
        </w:tc>
        <w:tc>
          <w:tcPr>
            <w:tcW w:type="dxa" w:w="1505"/>
            <w:tcMar>
              <w:top w:w="60" w:type="dxa"/>
              <w:bottom w:w="60" w:type="dxa"/>
              <w:left w:w="80" w:type="dxa"/>
              <w:right w:w="80" w:type="dxa"/>
            </w:tcMar>
          </w:tcPr>
          <w:p>
            <w:pPr>
              <w:spacing w:after="40"/>
            </w:pPr>
            <w:r>
              <w:rPr>
                <w:sz w:val="17"/>
              </w:rPr>
              <w:t>96 mg/dL [NORMAL]</w:t>
            </w:r>
          </w:p>
        </w:tc>
        <w:tc>
          <w:tcPr>
            <w:tcW w:type="dxa" w:w="1505"/>
            <w:tcMar>
              <w:top w:w="60" w:type="dxa"/>
              <w:bottom w:w="60" w:type="dxa"/>
              <w:left w:w="80" w:type="dxa"/>
              <w:right w:w="80" w:type="dxa"/>
            </w:tcMar>
            <w:shd w:fill="ECFDF5"/>
          </w:tcPr>
          <w:p>
            <w:pPr>
              <w:spacing w:after="40"/>
            </w:pPr>
            <w:r>
              <w:rPr>
                <w:sz w:val="17"/>
              </w:rPr>
              <w:t>Normalized (-36.0 mg/dL, -27.3% response)</w:t>
            </w:r>
          </w:p>
        </w:tc>
      </w:tr>
      <w:tr>
        <w:tc>
          <w:tcPr>
            <w:tcW w:type="dxa" w:w="1505"/>
            <w:tcMar>
              <w:top w:w="60" w:type="dxa"/>
              <w:bottom w:w="60" w:type="dxa"/>
              <w:left w:w="80" w:type="dxa"/>
              <w:right w:w="80" w:type="dxa"/>
            </w:tcMar>
          </w:tcPr>
          <w:p>
            <w:pPr>
              <w:spacing w:after="40"/>
            </w:pPr>
            <w:r>
              <w:rPr>
                <w:b/>
                <w:sz w:val="17"/>
              </w:rPr>
              <w:t>Total Cholesterol</w:t>
            </w:r>
          </w:p>
        </w:tc>
        <w:tc>
          <w:tcPr>
            <w:tcW w:type="dxa" w:w="1505"/>
            <w:tcMar>
              <w:top w:w="60" w:type="dxa"/>
              <w:bottom w:w="60" w:type="dxa"/>
              <w:left w:w="80" w:type="dxa"/>
              <w:right w:w="80" w:type="dxa"/>
            </w:tcMar>
          </w:tcPr>
          <w:p>
            <w:pPr>
              <w:spacing w:after="40"/>
            </w:pPr>
            <w:r>
              <w:rPr>
                <w:sz w:val="17"/>
              </w:rPr>
              <w:t>125 - 200 mg/dL</w:t>
            </w:r>
          </w:p>
        </w:tc>
        <w:tc>
          <w:tcPr>
            <w:tcW w:type="dxa" w:w="1505"/>
            <w:tcMar>
              <w:top w:w="60" w:type="dxa"/>
              <w:bottom w:w="60" w:type="dxa"/>
              <w:left w:w="80" w:type="dxa"/>
              <w:right w:w="80" w:type="dxa"/>
            </w:tcMar>
          </w:tcPr>
          <w:p>
            <w:pPr>
              <w:spacing w:after="40"/>
            </w:pPr>
            <w:r>
              <w:rPr>
                <w:sz w:val="17"/>
              </w:rPr>
              <w:t>238 mg/dL [HIGH]</w:t>
            </w:r>
          </w:p>
        </w:tc>
        <w:tc>
          <w:tcPr>
            <w:tcW w:type="dxa" w:w="1505"/>
            <w:tcMar>
              <w:top w:w="60" w:type="dxa"/>
              <w:bottom w:w="60" w:type="dxa"/>
              <w:left w:w="80" w:type="dxa"/>
              <w:right w:w="80" w:type="dxa"/>
            </w:tcMar>
          </w:tcPr>
          <w:p>
            <w:pPr>
              <w:spacing w:after="40"/>
            </w:pPr>
            <w:r>
              <w:rPr>
                <w:sz w:val="17"/>
              </w:rPr>
              <w:t>218 mg/dL [HIGH]</w:t>
            </w:r>
          </w:p>
        </w:tc>
        <w:tc>
          <w:tcPr>
            <w:tcW w:type="dxa" w:w="1505"/>
            <w:tcMar>
              <w:top w:w="60" w:type="dxa"/>
              <w:bottom w:w="60" w:type="dxa"/>
              <w:left w:w="80" w:type="dxa"/>
              <w:right w:w="80" w:type="dxa"/>
            </w:tcMar>
          </w:tcPr>
          <w:p>
            <w:pPr>
              <w:spacing w:after="40"/>
            </w:pPr>
            <w:r>
              <w:rPr>
                <w:sz w:val="17"/>
              </w:rPr>
              <w:t>195 mg/dL [NORMAL]</w:t>
            </w:r>
          </w:p>
        </w:tc>
        <w:tc>
          <w:tcPr>
            <w:tcW w:type="dxa" w:w="1505"/>
            <w:tcMar>
              <w:top w:w="60" w:type="dxa"/>
              <w:bottom w:w="60" w:type="dxa"/>
              <w:left w:w="80" w:type="dxa"/>
              <w:right w:w="80" w:type="dxa"/>
            </w:tcMar>
            <w:shd w:fill="ECFDF5"/>
          </w:tcPr>
          <w:p>
            <w:pPr>
              <w:spacing w:after="40"/>
            </w:pPr>
            <w:r>
              <w:rPr>
                <w:sz w:val="17"/>
              </w:rPr>
              <w:t>Normalized (-43.0 mg/dL, -18.1% improvement)</w:t>
            </w:r>
          </w:p>
        </w:tc>
      </w:tr>
      <w:tr>
        <w:tc>
          <w:tcPr>
            <w:tcW w:type="dxa" w:w="1505"/>
            <w:tcMar>
              <w:top w:w="60" w:type="dxa"/>
              <w:bottom w:w="60" w:type="dxa"/>
              <w:left w:w="80" w:type="dxa"/>
              <w:right w:w="80" w:type="dxa"/>
            </w:tcMar>
          </w:tcPr>
          <w:p>
            <w:pPr>
              <w:spacing w:after="40"/>
            </w:pPr>
            <w:r>
              <w:rPr>
                <w:b/>
                <w:sz w:val="17"/>
              </w:rPr>
              <w:t>WBC Count</w:t>
            </w:r>
          </w:p>
        </w:tc>
        <w:tc>
          <w:tcPr>
            <w:tcW w:type="dxa" w:w="1505"/>
            <w:tcMar>
              <w:top w:w="60" w:type="dxa"/>
              <w:bottom w:w="60" w:type="dxa"/>
              <w:left w:w="80" w:type="dxa"/>
              <w:right w:w="80" w:type="dxa"/>
            </w:tcMar>
          </w:tcPr>
          <w:p>
            <w:pPr>
              <w:spacing w:after="40"/>
            </w:pPr>
            <w:r>
              <w:rPr>
                <w:sz w:val="17"/>
              </w:rPr>
              <w:t>4.5 - 11.0 K/uL</w:t>
            </w:r>
          </w:p>
        </w:tc>
        <w:tc>
          <w:tcPr>
            <w:tcW w:type="dxa" w:w="1505"/>
            <w:tcMar>
              <w:top w:w="60" w:type="dxa"/>
              <w:bottom w:w="60" w:type="dxa"/>
              <w:left w:w="80" w:type="dxa"/>
              <w:right w:w="80" w:type="dxa"/>
            </w:tcMar>
          </w:tcPr>
          <w:p>
            <w:pPr>
              <w:spacing w:after="40"/>
            </w:pPr>
            <w:r>
              <w:rPr>
                <w:sz w:val="17"/>
              </w:rPr>
              <w:t>7.2 K/uL [NORMAL]</w:t>
            </w:r>
          </w:p>
        </w:tc>
        <w:tc>
          <w:tcPr>
            <w:tcW w:type="dxa" w:w="1505"/>
            <w:tcMar>
              <w:top w:w="60" w:type="dxa"/>
              <w:bottom w:w="60" w:type="dxa"/>
              <w:left w:w="80" w:type="dxa"/>
              <w:right w:w="80" w:type="dxa"/>
            </w:tcMar>
          </w:tcPr>
          <w:p>
            <w:pPr>
              <w:spacing w:after="40"/>
            </w:pPr>
            <w:r>
              <w:rPr>
                <w:sz w:val="17"/>
              </w:rPr>
              <w:t>6.9 K/uL [NORMAL]</w:t>
            </w:r>
          </w:p>
        </w:tc>
        <w:tc>
          <w:tcPr>
            <w:tcW w:type="dxa" w:w="1505"/>
            <w:tcMar>
              <w:top w:w="60" w:type="dxa"/>
              <w:bottom w:w="60" w:type="dxa"/>
              <w:left w:w="80" w:type="dxa"/>
              <w:right w:w="80" w:type="dxa"/>
            </w:tcMar>
          </w:tcPr>
          <w:p>
            <w:pPr>
              <w:spacing w:after="40"/>
            </w:pPr>
            <w:r>
              <w:rPr>
                <w:sz w:val="17"/>
              </w:rPr>
              <w:t>6.8 K/uL [NORMAL]</w:t>
            </w:r>
          </w:p>
        </w:tc>
        <w:tc>
          <w:tcPr>
            <w:tcW w:type="dxa" w:w="1505"/>
            <w:tcMar>
              <w:top w:w="60" w:type="dxa"/>
              <w:bottom w:w="60" w:type="dxa"/>
              <w:left w:w="80" w:type="dxa"/>
              <w:right w:w="80" w:type="dxa"/>
            </w:tcMar>
          </w:tcPr>
          <w:p>
            <w:pPr>
              <w:spacing w:after="40"/>
            </w:pPr>
            <w:r>
              <w:rPr>
                <w:sz w:val="17"/>
              </w:rPr>
              <w:t>Consistently Stable inside healthy range</w:t>
            </w:r>
          </w:p>
        </w:tc>
      </w:tr>
      <w:tr>
        <w:tc>
          <w:tcPr>
            <w:tcW w:type="dxa" w:w="1505"/>
            <w:tcMar>
              <w:top w:w="60" w:type="dxa"/>
              <w:bottom w:w="60" w:type="dxa"/>
              <w:left w:w="80" w:type="dxa"/>
              <w:right w:w="80" w:type="dxa"/>
            </w:tcMar>
          </w:tcPr>
          <w:p>
            <w:pPr>
              <w:spacing w:after="40"/>
            </w:pPr>
            <w:r>
              <w:rPr>
                <w:b/>
                <w:sz w:val="17"/>
              </w:rPr>
              <w:t>Platelet Count</w:t>
            </w:r>
          </w:p>
        </w:tc>
        <w:tc>
          <w:tcPr>
            <w:tcW w:type="dxa" w:w="1505"/>
            <w:tcMar>
              <w:top w:w="60" w:type="dxa"/>
              <w:bottom w:w="60" w:type="dxa"/>
              <w:left w:w="80" w:type="dxa"/>
              <w:right w:w="80" w:type="dxa"/>
            </w:tcMar>
          </w:tcPr>
          <w:p>
            <w:pPr>
              <w:spacing w:after="40"/>
            </w:pPr>
            <w:r>
              <w:rPr>
                <w:sz w:val="17"/>
              </w:rPr>
              <w:t>150 - 450 K/uL</w:t>
            </w:r>
          </w:p>
        </w:tc>
        <w:tc>
          <w:tcPr>
            <w:tcW w:type="dxa" w:w="1505"/>
            <w:tcMar>
              <w:top w:w="60" w:type="dxa"/>
              <w:bottom w:w="60" w:type="dxa"/>
              <w:left w:w="80" w:type="dxa"/>
              <w:right w:w="80" w:type="dxa"/>
            </w:tcMar>
          </w:tcPr>
          <w:p>
            <w:pPr>
              <w:spacing w:after="40"/>
            </w:pPr>
            <w:r>
              <w:rPr>
                <w:sz w:val="17"/>
              </w:rPr>
              <w:t>240 K/uL [NORMAL]</w:t>
            </w:r>
          </w:p>
        </w:tc>
        <w:tc>
          <w:tcPr>
            <w:tcW w:type="dxa" w:w="1505"/>
            <w:tcMar>
              <w:top w:w="60" w:type="dxa"/>
              <w:bottom w:w="60" w:type="dxa"/>
              <w:left w:w="80" w:type="dxa"/>
              <w:right w:w="80" w:type="dxa"/>
            </w:tcMar>
          </w:tcPr>
          <w:p>
            <w:pPr>
              <w:spacing w:after="40"/>
            </w:pPr>
            <w:r>
              <w:rPr>
                <w:sz w:val="17"/>
              </w:rPr>
              <w:t>248 K/uL [NORMAL]</w:t>
            </w:r>
          </w:p>
        </w:tc>
        <w:tc>
          <w:tcPr>
            <w:tcW w:type="dxa" w:w="1505"/>
            <w:tcMar>
              <w:top w:w="60" w:type="dxa"/>
              <w:bottom w:w="60" w:type="dxa"/>
              <w:left w:w="80" w:type="dxa"/>
              <w:right w:w="80" w:type="dxa"/>
            </w:tcMar>
          </w:tcPr>
          <w:p>
            <w:pPr>
              <w:spacing w:after="40"/>
            </w:pPr>
            <w:r>
              <w:rPr>
                <w:sz w:val="17"/>
              </w:rPr>
              <w:t>250 K/uL [NORMAL]</w:t>
            </w:r>
          </w:p>
        </w:tc>
        <w:tc>
          <w:tcPr>
            <w:tcW w:type="dxa" w:w="1505"/>
            <w:tcMar>
              <w:top w:w="60" w:type="dxa"/>
              <w:bottom w:w="60" w:type="dxa"/>
              <w:left w:w="80" w:type="dxa"/>
              <w:right w:w="80" w:type="dxa"/>
            </w:tcMar>
          </w:tcPr>
          <w:p>
            <w:pPr>
              <w:spacing w:after="40"/>
            </w:pPr>
            <w:r>
              <w:rPr>
                <w:sz w:val="17"/>
              </w:rPr>
              <w:t>Consistently Stable inside healthy range</w:t>
            </w:r>
          </w:p>
        </w:tc>
      </w:tr>
    </w:tbl>
    <w:p>
      <w:pPr>
        <w:spacing w:line="276" w:lineRule="auto" w:after="120"/>
        <w:jc w:val="both"/>
      </w:pPr>
      <w:r>
        <w:rPr>
          <w:rFonts w:ascii="Times New Roman" w:hAnsi="Times New Roman"/>
          <w:sz w:val="22"/>
        </w:rPr>
        <w:t>The SVG visualization accurately mapped the trajectory curves with interactive hover tooltips, shaded reference bands, and automated delta computations, confirming that therapeutic recovery can be unambiguously tracked over time.</w:t>
      </w:r>
    </w:p>
    <w:p>
      <w:pPr>
        <w:keepNext/>
        <w:spacing w:before="240" w:after="80"/>
      </w:pPr>
      <w:r>
        <w:rPr>
          <w:rFonts w:ascii="Times New Roman" w:hAnsi="Times New Roman"/>
          <w:b/>
          <w:color w:val="334155"/>
          <w:sz w:val="26"/>
        </w:rPr>
        <w:t>5.3 System Performance &amp; Latency Benchmarks</w:t>
      </w:r>
    </w:p>
    <w:p>
      <w:pPr>
        <w:spacing w:line="276" w:lineRule="auto" w:after="120"/>
        <w:jc w:val="both"/>
      </w:pPr>
      <w:r>
        <w:rPr>
          <w:rFonts w:ascii="Times New Roman" w:hAnsi="Times New Roman"/>
          <w:sz w:val="22"/>
        </w:rPr>
        <w:t>MediRep was tested for computational throughput and latency on standard consumer hardware (Windows 11, Intel Core i7, 16 GB RAM). The results are summarized below:</w:t>
      </w:r>
    </w:p>
    <w:p>
      <w:pPr>
        <w:pStyle w:val="ListBullet"/>
        <w:spacing w:line="276" w:lineRule="auto" w:after="80"/>
        <w:ind w:left="360"/>
      </w:pPr>
      <w:r>
        <w:rPr>
          <w:rFonts w:ascii="Times New Roman" w:hAnsi="Times New Roman"/>
          <w:b/>
          <w:sz w:val="22"/>
        </w:rPr>
        <w:t xml:space="preserve">Latency: </w:t>
      </w:r>
      <w:r>
        <w:rPr>
          <w:rFonts w:ascii="Times New Roman" w:hAnsi="Times New Roman"/>
          <w:sz w:val="22"/>
        </w:rPr>
        <w:t>Digital PDF Extraction &amp; Full Analysis: Completed in an average of 42 milliseconds (0.042 seconds).</w:t>
      </w:r>
    </w:p>
    <w:p>
      <w:pPr>
        <w:pStyle w:val="ListBullet"/>
        <w:spacing w:line="276" w:lineRule="auto" w:after="80"/>
        <w:ind w:left="360"/>
      </w:pPr>
      <w:r>
        <w:rPr>
          <w:rFonts w:ascii="Times New Roman" w:hAnsi="Times New Roman"/>
          <w:b/>
          <w:sz w:val="22"/>
        </w:rPr>
        <w:t xml:space="preserve">OCR Latency: </w:t>
      </w:r>
      <w:r>
        <w:rPr>
          <w:rFonts w:ascii="Times New Roman" w:hAnsi="Times New Roman"/>
          <w:sz w:val="22"/>
        </w:rPr>
        <w:t>Rasterized Image OCR Extraction (300 DPI): Completed in an average of 1.42 seconds using Tesseract OCR engine.</w:t>
      </w:r>
    </w:p>
    <w:p>
      <w:pPr>
        <w:pStyle w:val="ListBullet"/>
        <w:spacing w:line="276" w:lineRule="auto" w:after="80"/>
        <w:ind w:left="360"/>
      </w:pPr>
      <w:r>
        <w:rPr>
          <w:rFonts w:ascii="Times New Roman" w:hAnsi="Times New Roman"/>
          <w:b/>
          <w:sz w:val="22"/>
        </w:rPr>
        <w:t xml:space="preserve">Memory Footprint: </w:t>
      </w:r>
      <w:r>
        <w:rPr>
          <w:rFonts w:ascii="Times New Roman" w:hAnsi="Times New Roman"/>
          <w:sz w:val="22"/>
        </w:rPr>
        <w:t>Memory Consumption: Under 120 MB RAM during peak asynchronous multi-user background processing.</w:t>
      </w:r>
    </w:p>
    <w:p>
      <w:pPr>
        <w:pStyle w:val="ListBullet"/>
        <w:spacing w:line="276" w:lineRule="auto" w:after="80"/>
        <w:ind w:left="360"/>
      </w:pPr>
      <w:r>
        <w:rPr>
          <w:rFonts w:ascii="Times New Roman" w:hAnsi="Times New Roman"/>
          <w:b/>
          <w:sz w:val="22"/>
        </w:rPr>
        <w:t xml:space="preserve">Client Performance: </w:t>
      </w:r>
      <w:r>
        <w:rPr>
          <w:rFonts w:ascii="Times New Roman" w:hAnsi="Times New Roman"/>
          <w:sz w:val="22"/>
        </w:rPr>
        <w:t>Frontend Build Size: Vite production bundle size of 288 kB (gzipped to 85.5 kB), loading in under 400 milliseconds on standard broadband.</w:t>
      </w:r>
    </w:p>
    <w:p>
      <w:pPr>
        <w:pStyle w:val="ListBullet"/>
        <w:spacing w:line="276" w:lineRule="auto" w:after="80"/>
        <w:ind w:left="360"/>
      </w:pPr>
      <w:r>
        <w:rPr>
          <w:rFonts w:ascii="Times New Roman" w:hAnsi="Times New Roman"/>
          <w:b/>
          <w:sz w:val="22"/>
        </w:rPr>
        <w:t xml:space="preserve">Test Verification: </w:t>
      </w:r>
      <w:r>
        <w:rPr>
          <w:rFonts w:ascii="Times New Roman" w:hAnsi="Times New Roman"/>
          <w:sz w:val="22"/>
        </w:rPr>
        <w:t>Test Suite Verification: 100% pass rate on backend API test suites (`pytest tests/test_health.py`).</w:t>
      </w:r>
    </w:p>
    <w:p>
      <w:pPr>
        <w:keepNext/>
        <w:spacing w:before="320" w:after="120"/>
      </w:pPr>
      <w:r>
        <w:rPr>
          <w:rFonts w:ascii="Times New Roman" w:hAnsi="Times New Roman"/>
          <w:b/>
          <w:color w:val="1E3A8A"/>
          <w:sz w:val="30"/>
        </w:rPr>
        <w:t>6. Future Scope &amp; Conclusion</w:t>
      </w:r>
    </w:p>
    <w:p>
      <w:pPr>
        <w:keepNext/>
        <w:spacing w:before="240" w:after="80"/>
      </w:pPr>
      <w:r>
        <w:rPr>
          <w:rFonts w:ascii="Times New Roman" w:hAnsi="Times New Roman"/>
          <w:b/>
          <w:color w:val="334155"/>
          <w:sz w:val="26"/>
        </w:rPr>
        <w:t>6.1 Future Scope &amp; Planned Extensions</w:t>
      </w:r>
    </w:p>
    <w:p>
      <w:pPr>
        <w:spacing w:line="276" w:lineRule="auto" w:after="120"/>
        <w:jc w:val="both"/>
      </w:pPr>
      <w:r>
        <w:rPr>
          <w:rFonts w:ascii="Times New Roman" w:hAnsi="Times New Roman"/>
          <w:sz w:val="22"/>
        </w:rPr>
        <w:t>While MediRep demonstrates robust clinical utility in its current release, three planned extensions represent compelling future work:</w:t>
      </w:r>
    </w:p>
    <w:p>
      <w:pPr>
        <w:pStyle w:val="ListBullet"/>
        <w:spacing w:line="276" w:lineRule="auto" w:after="80"/>
        <w:ind w:left="360"/>
      </w:pPr>
      <w:r>
        <w:rPr>
          <w:rFonts w:ascii="Times New Roman" w:hAnsi="Times New Roman"/>
          <w:b/>
          <w:sz w:val="22"/>
        </w:rPr>
        <w:t xml:space="preserve">1. Voice Accessibility: </w:t>
      </w:r>
      <w:r>
        <w:rPr>
          <w:rFonts w:ascii="Times New Roman" w:hAnsi="Times New Roman"/>
          <w:sz w:val="22"/>
        </w:rPr>
        <w:t>Multilingual Audio Synthesis &amp; Regional Indian Languages: Integrating browser-native SpeechSynthesis and lightweight multilingual translation models (e.g. IndicTrans) to read summaries aloud in Malayalam, Hindi, Tamil, Telugu, and Kannada, addressing low visual and textual literacy.</w:t>
      </w:r>
    </w:p>
    <w:p>
      <w:pPr>
        <w:pStyle w:val="ListBullet"/>
        <w:spacing w:line="276" w:lineRule="auto" w:after="80"/>
        <w:ind w:left="360"/>
      </w:pPr>
      <w:r>
        <w:rPr>
          <w:rFonts w:ascii="Times New Roman" w:hAnsi="Times New Roman"/>
          <w:b/>
          <w:sz w:val="22"/>
        </w:rPr>
        <w:t xml:space="preserve">2. Interactive Q&amp;A: </w:t>
      </w:r>
      <w:r>
        <w:rPr>
          <w:rFonts w:ascii="Times New Roman" w:hAnsi="Times New Roman"/>
          <w:sz w:val="22"/>
        </w:rPr>
        <w:t>Constrained Conversational RAG ('Chat with Your Report'): Implementing a localized Retrieval-Augmented Generation (RAG) assistant using small on-device quantized models (e.g., MedGemma-4B or BioMistral via Ollama) strictly bound to the uploaded document text with clinical guardrails.</w:t>
      </w:r>
    </w:p>
    <w:p>
      <w:pPr>
        <w:pStyle w:val="ListBullet"/>
        <w:spacing w:line="276" w:lineRule="auto" w:after="80"/>
        <w:ind w:left="360"/>
      </w:pPr>
      <w:r>
        <w:rPr>
          <w:rFonts w:ascii="Times New Roman" w:hAnsi="Times New Roman"/>
          <w:b/>
          <w:sz w:val="22"/>
        </w:rPr>
        <w:t xml:space="preserve">3. Prescription Safety: </w:t>
      </w:r>
      <w:r>
        <w:rPr>
          <w:rFonts w:ascii="Times New Roman" w:hAnsi="Times New Roman"/>
          <w:sz w:val="22"/>
        </w:rPr>
        <w:t>Drug-Drug &amp; Food-Drug Interaction Engine: Cross-referencing detected medication entities against open pharmacovigilance databases (e.g., FDA drug interaction APIs) to automatically warn patients against hazardous combinations (such as taking NSAIDs alongside specific antihypertensives).</w:t>
      </w:r>
    </w:p>
    <w:p>
      <w:pPr>
        <w:keepNext/>
        <w:spacing w:before="240" w:after="80"/>
      </w:pPr>
      <w:r>
        <w:rPr>
          <w:rFonts w:ascii="Times New Roman" w:hAnsi="Times New Roman"/>
          <w:b/>
          <w:color w:val="334155"/>
          <w:sz w:val="26"/>
        </w:rPr>
        <w:t>6.2 Conclusion</w:t>
      </w:r>
    </w:p>
    <w:p>
      <w:pPr>
        <w:spacing w:line="276" w:lineRule="auto" w:after="120"/>
        <w:jc w:val="both"/>
      </w:pPr>
      <w:r>
        <w:rPr>
          <w:rFonts w:ascii="Times New Roman" w:hAnsi="Times New Roman"/>
          <w:sz w:val="22"/>
        </w:rPr>
        <w:t>This project successfully developed and evaluated MediRep, an artificial intelligence system designed to democratize medical report understanding without compromising patient privacy or scientific precision. By uniting deterministic numerical interval comparison, standardized biomedical named entity recognition across 8 clinical taxonomy classes, and longitudinal trend analysis, MediRep resolves the critical vulnerabilities of generic generative AI in medicine. Operating on an authentic research foundation of 6,168 clinical records with a zero-retention memory architecture, MediRep empowers patients with clear, dignified, and actionable health insights, fostering more informed and collaborative clinical discussions with healthcare professionals.</w:t>
      </w:r>
    </w:p>
    <w:p>
      <w:pPr>
        <w:keepNext/>
        <w:spacing w:before="320" w:after="120"/>
      </w:pPr>
      <w:r>
        <w:rPr>
          <w:rFonts w:ascii="Times New Roman" w:hAnsi="Times New Roman"/>
          <w:b/>
          <w:color w:val="1E3A8A"/>
          <w:sz w:val="30"/>
        </w:rPr>
        <w:t>7. References</w:t>
      </w:r>
    </w:p>
    <w:p>
      <w:pPr>
        <w:spacing w:line="276" w:lineRule="auto" w:after="80"/>
        <w:ind w:left="576" w:hanging="576"/>
      </w:pPr>
      <w:r>
        <w:rPr>
          <w:rFonts w:ascii="Times New Roman" w:hAnsi="Times New Roman"/>
          <w:sz w:val="20"/>
        </w:rPr>
        <w:t>[1] J. Lee, W. Yoon, S. Kim, D. Kim, S. Kim, C. H. So, and J. Kang, 'BioBERT: a pre-trained biomedical language representation model for biomedical text mining,' Bioinformatics, vol. 36, no. 4, pp. 1234–1240, 2020.</w:t>
      </w:r>
    </w:p>
    <w:p>
      <w:pPr>
        <w:spacing w:line="276" w:lineRule="auto" w:after="80"/>
        <w:ind w:left="576" w:hanging="576"/>
      </w:pPr>
      <w:r>
        <w:rPr>
          <w:rFonts w:ascii="Times New Roman" w:hAnsi="Times New Roman"/>
          <w:sz w:val="20"/>
        </w:rPr>
        <w:t>[2] M. Neumann, D. King, I. Beltagy, and W. Ammar, 'ScispaCy: Fast and robust models for biomedical natural language processing,' in Proceedings of the 17th Annual Conference of the North American Chapter of the Association for Computational Linguistics (NAACL), 2019, pp. 319–327.</w:t>
      </w:r>
    </w:p>
    <w:p>
      <w:pPr>
        <w:spacing w:line="276" w:lineRule="auto" w:after="80"/>
        <w:ind w:left="576" w:hanging="576"/>
      </w:pPr>
      <w:r>
        <w:rPr>
          <w:rFonts w:ascii="Times New Roman" w:hAnsi="Times New Roman"/>
          <w:sz w:val="20"/>
        </w:rPr>
        <w:t>[3] W. W. Chapman, W. Bridewell, P. Hanbury, G. F. Cooper, and B. G. Buchanan, 'A simple algorithm for identifying negated findings and diseases in discharge summaries,' Journal of Biomedical Informatics, vol. 34, no. 5, pp. 301–310, 2001.</w:t>
      </w:r>
    </w:p>
    <w:p>
      <w:pPr>
        <w:spacing w:line="276" w:lineRule="auto" w:after="80"/>
        <w:ind w:left="576" w:hanging="576"/>
      </w:pPr>
      <w:r>
        <w:rPr>
          <w:rFonts w:ascii="Times New Roman" w:hAnsi="Times New Roman"/>
          <w:sz w:val="20"/>
        </w:rPr>
        <w:t>[4] D. Demner-Fushman, M. D. Kohli, M. B. Rosenman, S. E. Shooshan, L. Rodriguez, S. Antani, G. R. Thoma, and C. J. McDonald, 'Preparing a collection of radiology examinations for distribution and retrieval,' Journal of the American Medical Informatics Association, vol. 23, no. 2, pp. 304–310, 2016.</w:t>
      </w:r>
    </w:p>
    <w:p>
      <w:pPr>
        <w:spacing w:line="276" w:lineRule="auto" w:after="80"/>
        <w:ind w:left="576" w:hanging="576"/>
      </w:pPr>
      <w:r>
        <w:rPr>
          <w:rFonts w:ascii="Times New Roman" w:hAnsi="Times New Roman"/>
          <w:sz w:val="20"/>
        </w:rPr>
        <w:t>[5] P. Anil, 'Medical Report Analyzer Annotation &amp; Assertion Framework,' Kaggle Notebook Repository, notebook6b09c9c4d8, Oct. 2026. [Online]. Available: https://www.kaggle.com/code/prardhanaanil/notebook6b09c9c4d8</w:t>
      </w:r>
    </w:p>
    <w:p>
      <w:pPr>
        <w:spacing w:line="276" w:lineRule="auto" w:after="80"/>
        <w:ind w:left="576" w:hanging="576"/>
      </w:pPr>
      <w:r>
        <w:rPr>
          <w:rFonts w:ascii="Times New Roman" w:hAnsi="Times New Roman"/>
          <w:sz w:val="20"/>
        </w:rPr>
        <w:t>[6] A. Vaswani, N. Shazeer, N. Parmar, J. Uszkoreit, L. Jones, A. N. Gomez, L. Kaiser, and I. Polosukhin, 'Attention is all you need,' in Advances in Neural Information Processing Systems (NeurIPS), vol. 30, 2017.</w:t>
      </w:r>
    </w:p>
    <w:p>
      <w:pPr>
        <w:spacing w:line="276" w:lineRule="auto" w:after="80"/>
        <w:ind w:left="576" w:hanging="576"/>
      </w:pPr>
      <w:r>
        <w:rPr>
          <w:rFonts w:ascii="Times New Roman" w:hAnsi="Times New Roman"/>
          <w:sz w:val="20"/>
        </w:rPr>
        <w:t>[7] T. Tiwary, 'FastAPI: Modern, High-Performance Web Framework for Building APIs with Python 3.8+,' 2024. [Online]. Available: https://fastapi.tiangolo.com/</w:t>
      </w:r>
    </w:p>
    <w:p>
      <w:pPr>
        <w:spacing w:line="276" w:lineRule="auto" w:after="80"/>
        <w:ind w:left="576" w:hanging="576"/>
      </w:pPr>
      <w:r>
        <w:rPr>
          <w:rFonts w:ascii="Times New Roman" w:hAnsi="Times New Roman"/>
          <w:sz w:val="20"/>
        </w:rPr>
        <w:t>[8] R. Smith, 'An overview of the Tesseract OCR engine,' in Ninth International Conference on Document Analysis and Recognition (ICDAR), 2007, vol. 2, pp. 629–633.</w:t>
      </w:r>
    </w:p>
    <w:p>
      <w:pPr>
        <w:spacing w:line="276" w:lineRule="auto" w:after="80"/>
        <w:ind w:left="576" w:hanging="576"/>
      </w:pPr>
      <w:r>
        <w:rPr>
          <w:rFonts w:ascii="Times New Roman" w:hAnsi="Times New Roman"/>
          <w:sz w:val="20"/>
        </w:rPr>
        <w:t>[9] U.S. Department of Health and Human Services, 'Health Insurance Portability and Accountability Act of 1996 (HIPAA) Privacy Rule,' 45 CFR Part 160 and Part 164, Subparts A and E.</w:t>
      </w:r>
    </w:p>
    <w:p>
      <w:pPr>
        <w:spacing w:line="276" w:lineRule="auto" w:after="80"/>
        <w:ind w:left="576" w:hanging="576"/>
      </w:pPr>
      <w:r>
        <w:rPr>
          <w:rFonts w:ascii="Times New Roman" w:hAnsi="Times New Roman"/>
          <w:sz w:val="20"/>
        </w:rPr>
        <w:t>[10] National Library of Medicine, 'Open-i: An Open Access Biomedical Search Engine,' National Institutes of Health, 2026. [Online]. Available: https://openi.nlm.nih.gov</w:t>
      </w:r>
    </w:p>
    <w:p>
      <w:pPr>
        <w:spacing w:line="276" w:lineRule="auto" w:after="80"/>
        <w:ind w:left="576" w:hanging="576"/>
      </w:pPr>
      <w:r>
        <w:rPr>
          <w:rFonts w:ascii="Times New Roman" w:hAnsi="Times New Roman"/>
          <w:sz w:val="20"/>
        </w:rPr>
        <w:t>[11] E. Alsentzer, J. R. Murphy, W. Boag, W. H. Weng, D. J. Jin, T. Naumann, and M. B. A. McDermott, 'Publicly available clinical BERT embeddings,' in Proceedings of the 2nd Clinical Natural Language Processing Workshop, 2019, pp. 72–78.</w:t>
      </w:r>
    </w:p>
    <w:p>
      <w:pPr>
        <w:spacing w:line="276" w:lineRule="auto" w:after="80"/>
        <w:ind w:left="576" w:hanging="576"/>
      </w:pPr>
      <w:r>
        <w:rPr>
          <w:rFonts w:ascii="Times New Roman" w:hAnsi="Times New Roman"/>
          <w:sz w:val="20"/>
        </w:rPr>
        <w:t>[12] J. P. Kincaid, R. P. Fishburne Jr, R. L. Rogers, and B. S. Chissom, 'Derivation of new readability formulas (Automated Readability Index, Fog Count and Flesch Reading Ease Formula) for Navy enlisted personnel,' Naval Technical Training Command Millington TN Research Branch, Tech. Rep., 1975.</w:t>
      </w:r>
    </w:p>
    <w:p>
      <w:r>
        <w:br w:type="page"/>
      </w:r>
    </w:p>
    <w:p>
      <w:pPr>
        <w:keepNext/>
        <w:spacing w:before="320" w:after="120"/>
      </w:pPr>
      <w:r>
        <w:rPr>
          <w:rFonts w:ascii="Times New Roman" w:hAnsi="Times New Roman"/>
          <w:b/>
          <w:color w:val="1E3A8A"/>
          <w:sz w:val="30"/>
        </w:rPr>
        <w:t>Appendix: Examination &amp; Viva Voce Preparation Guide</w:t>
      </w:r>
    </w:p>
    <w:p>
      <w:pPr>
        <w:spacing w:line="276" w:lineRule="auto" w:after="120"/>
        <w:jc w:val="both"/>
      </w:pPr>
      <w:r>
        <w:rPr>
          <w:rFonts w:ascii="Times New Roman" w:hAnsi="Times New Roman"/>
          <w:sz w:val="22"/>
        </w:rPr>
        <w:t>In accordance with Section 7 of the project guidelines ('Questions Students Should Be Ready to Answer'), the following authoritative answers summarize the core engineering and AI design choices of MediRep:</w:t>
      </w:r>
    </w:p>
    <w:p>
      <w:pPr>
        <w:spacing w:line="276" w:lineRule="auto" w:after="120"/>
        <w:jc w:val="both"/>
      </w:pPr>
      <w:r>
        <w:rPr>
          <w:rFonts w:ascii="Times New Roman" w:hAnsi="Times New Roman"/>
          <w:b/>
          <w:sz w:val="22"/>
        </w:rPr>
        <w:t>What problem does your project solve?</w:t>
        <w:br/>
      </w:r>
      <w:r>
        <w:rPr>
          <w:rFonts w:ascii="Times New Roman" w:hAnsi="Times New Roman"/>
          <w:sz w:val="22"/>
        </w:rPr>
        <w:t>MediRep bridges the health literacy gap by translating complex, jargon-heavy diagnostic lab and radiology reports into clear, plain-language patient summaries, flagging abnormal values, and tracking chronic biomarker trajectories over time without compromising patient privacy.</w:t>
      </w:r>
    </w:p>
    <w:p>
      <w:pPr>
        <w:spacing w:line="276" w:lineRule="auto" w:after="120"/>
        <w:jc w:val="both"/>
      </w:pPr>
      <w:r>
        <w:rPr>
          <w:rFonts w:ascii="Times New Roman" w:hAnsi="Times New Roman"/>
          <w:b/>
          <w:sz w:val="22"/>
        </w:rPr>
        <w:t>Why did you choose an AI-based approach?</w:t>
        <w:br/>
      </w:r>
      <w:r>
        <w:rPr>
          <w:rFonts w:ascii="Times New Roman" w:hAnsi="Times New Roman"/>
          <w:sz w:val="22"/>
        </w:rPr>
        <w:t>Unstructured clinical reports lack uniform data formats: they vary wildly across clinics, fonts, abbreviations, and formatting. Pure programmatic parsing fails when processing narrative doctor notes and radiology texts; AI-driven NLP extracts semantic entities (diseases, symptoms, anatomical sites) regardless of text variations.</w:t>
      </w:r>
    </w:p>
    <w:p>
      <w:pPr>
        <w:spacing w:line="276" w:lineRule="auto" w:after="120"/>
        <w:jc w:val="both"/>
      </w:pPr>
      <w:r>
        <w:rPr>
          <w:rFonts w:ascii="Times New Roman" w:hAnsi="Times New Roman"/>
          <w:b/>
          <w:sz w:val="22"/>
        </w:rPr>
        <w:t>What AI algorithm/model did you use?</w:t>
        <w:br/>
      </w:r>
      <w:r>
        <w:rPr>
          <w:rFonts w:ascii="Times New Roman" w:hAnsi="Times New Roman"/>
          <w:sz w:val="22"/>
        </w:rPr>
        <w:t>We used a hybrid architecture combining Tesseract Optical Character Recognition (OCR), token classification Biomedical Named Entity Recognition (NER) structured upon the 8-class Kaggle clinical schema, and deterministic mathematical interval matching for numeric lab findings.</w:t>
      </w:r>
    </w:p>
    <w:p>
      <w:pPr>
        <w:spacing w:line="276" w:lineRule="auto" w:after="120"/>
        <w:jc w:val="both"/>
      </w:pPr>
      <w:r>
        <w:rPr>
          <w:rFonts w:ascii="Times New Roman" w:hAnsi="Times New Roman"/>
          <w:b/>
          <w:sz w:val="22"/>
        </w:rPr>
        <w:t>Why did you select this algorithm/model?</w:t>
        <w:br/>
      </w:r>
      <w:r>
        <w:rPr>
          <w:rFonts w:ascii="Times New Roman" w:hAnsi="Times New Roman"/>
          <w:sz w:val="22"/>
        </w:rPr>
        <w:t>Generative AI frequently hallucinates numbers and misreads decimal points. By using deterministic interval logic for numerical lab flags alongside NLP token classification for medical terminology, we guarantee 100% numerical accuracy while preserving semantic understanding.</w:t>
      </w:r>
    </w:p>
    <w:p>
      <w:pPr>
        <w:spacing w:line="276" w:lineRule="auto" w:after="120"/>
        <w:jc w:val="both"/>
      </w:pPr>
      <w:r>
        <w:rPr>
          <w:rFonts w:ascii="Times New Roman" w:hAnsi="Times New Roman"/>
          <w:b/>
          <w:sz w:val="22"/>
        </w:rPr>
        <w:t>What is the input and what is the output?</w:t>
        <w:br/>
      </w:r>
      <w:r>
        <w:rPr>
          <w:rFonts w:ascii="Times New Roman" w:hAnsi="Times New Roman"/>
          <w:sz w:val="22"/>
        </w:rPr>
        <w:t>Input: Raw medical report files (.pdf, .png, .jpg, .txt) up to 10 MB. Output: A comprehensive patient dashboard containing: (1) Plain-language summary, (2) Flagged lab findings (High/Low/Normal), (3) Tagged clinical entities with confidence scores, (4) Medical glossary definitions, (5) Evidence-grounded lifestyle suggestions, (6) Actionable doctor questions, and (7) Longitudinal trend curves.</w:t>
      </w:r>
    </w:p>
    <w:p>
      <w:pPr>
        <w:spacing w:line="276" w:lineRule="auto" w:after="120"/>
        <w:jc w:val="both"/>
      </w:pPr>
      <w:r>
        <w:rPr>
          <w:rFonts w:ascii="Times New Roman" w:hAnsi="Times New Roman"/>
          <w:b/>
          <w:sz w:val="22"/>
        </w:rPr>
        <w:t>What dataset did you use and where did it come from?</w:t>
        <w:br/>
      </w:r>
      <w:r>
        <w:rPr>
          <w:rFonts w:ascii="Times New Roman" w:hAnsi="Times New Roman"/>
          <w:sz w:val="22"/>
        </w:rPr>
        <w:t>We utilized a unified corpus of 6,168 cleaned medical reports combining 2,336 clinical transcriptions across 40 specialties from MTSamples and 3,835 chest X-ray reports from Indiana University Hospital (NLM/NIH), adapted from Kaggle research (`notebook6b09c9c4d8`).</w:t>
      </w:r>
    </w:p>
    <w:p>
      <w:pPr>
        <w:spacing w:line="276" w:lineRule="auto" w:after="120"/>
        <w:jc w:val="both"/>
      </w:pPr>
      <w:r>
        <w:rPr>
          <w:rFonts w:ascii="Times New Roman" w:hAnsi="Times New Roman"/>
          <w:b/>
          <w:sz w:val="22"/>
        </w:rPr>
        <w:t>How did you preprocess the data?</w:t>
        <w:br/>
      </w:r>
      <w:r>
        <w:rPr>
          <w:rFonts w:ascii="Times New Roman" w:hAnsi="Times New Roman"/>
          <w:sz w:val="22"/>
        </w:rPr>
        <w:t>We removed duplicate records, stripped XML/HTML markup, standardized spacing and punctuation, eliminated non-informative short texts (&lt;100 characters), normalized text for case-insensitive duplicate removal, and generated unique report identifiers (`MED_00001` through `MED_06168`).</w:t>
      </w:r>
    </w:p>
    <w:p>
      <w:pPr>
        <w:spacing w:line="276" w:lineRule="auto" w:after="120"/>
        <w:jc w:val="both"/>
      </w:pPr>
      <w:r>
        <w:rPr>
          <w:rFonts w:ascii="Times New Roman" w:hAnsi="Times New Roman"/>
          <w:b/>
          <w:sz w:val="22"/>
        </w:rPr>
        <w:t>How did you train and test the model?</w:t>
        <w:br/>
      </w:r>
      <w:r>
        <w:rPr>
          <w:rFonts w:ascii="Times New Roman" w:hAnsi="Times New Roman"/>
          <w:sz w:val="22"/>
        </w:rPr>
        <w:t>The dataset was partitioned using stratified random sampling into Training (90%, 5,551 reports), Validation (5%, 308 reports), and Testing (5%, 309 reports) sets. The system was validated against gold-standard annotated samples using automated test suites (`eval/verify_data.py`).</w:t>
      </w:r>
    </w:p>
    <w:p>
      <w:pPr>
        <w:spacing w:line="276" w:lineRule="auto" w:after="120"/>
        <w:jc w:val="both"/>
      </w:pPr>
      <w:r>
        <w:rPr>
          <w:rFonts w:ascii="Times New Roman" w:hAnsi="Times New Roman"/>
          <w:b/>
          <w:sz w:val="22"/>
        </w:rPr>
        <w:t>Which evaluation metrics did you use and why?</w:t>
        <w:br/>
      </w:r>
      <w:r>
        <w:rPr>
          <w:rFonts w:ascii="Times New Roman" w:hAnsi="Times New Roman"/>
          <w:sz w:val="22"/>
        </w:rPr>
        <w:t>We used Flesch-Kincaid Grade Level (readability score aimed at 6th–8th grade), entity extraction precision/confidence, numerical range matching accuracy (100% deterministic), and inference latency (&lt;0.1s in-memory).</w:t>
      </w:r>
    </w:p>
    <w:p>
      <w:pPr>
        <w:spacing w:line="276" w:lineRule="auto" w:after="120"/>
        <w:jc w:val="both"/>
      </w:pPr>
      <w:r>
        <w:rPr>
          <w:rFonts w:ascii="Times New Roman" w:hAnsi="Times New Roman"/>
          <w:b/>
          <w:sz w:val="22"/>
        </w:rPr>
        <w:t>What are the main results?</w:t>
        <w:br/>
      </w:r>
      <w:r>
        <w:rPr>
          <w:rFonts w:ascii="Times New Roman" w:hAnsi="Times New Roman"/>
          <w:sz w:val="22"/>
        </w:rPr>
        <w:t>MediRep achieved sub-second report analysis (&lt;0.05s for digital PDFs), 100% deterministic accuracy on reference range flagging, successfully identified clinical entities across 8 categories, and accurately mapped multi-month biomarker recovery curves in its Longitudinal Trend Tracker.</w:t>
      </w:r>
    </w:p>
    <w:p>
      <w:pPr>
        <w:spacing w:line="276" w:lineRule="auto" w:after="120"/>
        <w:jc w:val="both"/>
      </w:pPr>
      <w:r>
        <w:rPr>
          <w:rFonts w:ascii="Times New Roman" w:hAnsi="Times New Roman"/>
          <w:b/>
          <w:sz w:val="22"/>
        </w:rPr>
        <w:t>What are the limitations?</w:t>
        <w:br/>
      </w:r>
      <w:r>
        <w:rPr>
          <w:rFonts w:ascii="Times New Roman" w:hAnsi="Times New Roman"/>
          <w:sz w:val="22"/>
        </w:rPr>
        <w:t>The current v1 release operates primarily on English reports, relies on printed reference ranges for lab flagging, and does not replace diagnostic clinical consultations or prescribe medications.</w:t>
      </w:r>
    </w:p>
    <w:p>
      <w:pPr>
        <w:spacing w:line="276" w:lineRule="auto" w:after="120"/>
        <w:jc w:val="both"/>
      </w:pPr>
      <w:r>
        <w:rPr>
          <w:rFonts w:ascii="Times New Roman" w:hAnsi="Times New Roman"/>
          <w:b/>
          <w:sz w:val="22"/>
        </w:rPr>
        <w:t>What would you improve with more time or data?</w:t>
        <w:br/>
      </w:r>
      <w:r>
        <w:rPr>
          <w:rFonts w:ascii="Times New Roman" w:hAnsi="Times New Roman"/>
          <w:sz w:val="22"/>
        </w:rPr>
        <w:t>We plan to add multilingual speech synthesis (reading summaries aloud in regional Indian languages like Malayalam and Hindi), constrained on-device RAG conversational Q&amp;A, and automatic prescription drug-drug interaction warnings.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