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E524B" w14:textId="77777777" w:rsidR="00C77A90" w:rsidRDefault="009345A6">
      <w:pPr>
        <w:jc w:val="center"/>
        <w:rPr>
          <w:rFonts w:ascii="Verdana" w:eastAsia="Verdana" w:hAnsi="Verdana" w:cs="Verdana"/>
        </w:rPr>
      </w:pPr>
      <w:r>
        <w:rPr>
          <w:rFonts w:ascii="Verdana" w:eastAsia="Verdana" w:hAnsi="Verdana" w:cs="Verdana"/>
        </w:rPr>
        <w:t>COMPUTER ARCHITECTURE - 2</w:t>
      </w:r>
    </w:p>
    <w:p w14:paraId="0057B362" w14:textId="77777777" w:rsidR="00C77A90" w:rsidRDefault="009345A6">
      <w:pPr>
        <w:jc w:val="center"/>
        <w:rPr>
          <w:rFonts w:ascii="Verdana" w:eastAsia="Verdana" w:hAnsi="Verdana" w:cs="Verdana"/>
        </w:rPr>
      </w:pPr>
      <w:r>
        <w:rPr>
          <w:rFonts w:ascii="Verdana" w:eastAsia="Verdana" w:hAnsi="Verdana" w:cs="Verdana"/>
        </w:rPr>
        <w:t>ASSIGNMENT -2</w:t>
      </w:r>
    </w:p>
    <w:p w14:paraId="3F89698E" w14:textId="77777777" w:rsidR="00C77A90" w:rsidRDefault="009345A6">
      <w:pPr>
        <w:jc w:val="center"/>
        <w:rPr>
          <w:rFonts w:ascii="Verdana" w:eastAsia="Verdana" w:hAnsi="Verdana" w:cs="Verdana"/>
        </w:rPr>
      </w:pPr>
      <w:r>
        <w:rPr>
          <w:rFonts w:ascii="Verdana" w:eastAsia="Verdana" w:hAnsi="Verdana" w:cs="Verdana"/>
        </w:rPr>
        <w:t>NAME: Vasundhara Venkata Krishna</w:t>
      </w:r>
    </w:p>
    <w:p w14:paraId="15A33F58" w14:textId="77777777" w:rsidR="00C77A90" w:rsidRDefault="009345A6">
      <w:pPr>
        <w:jc w:val="center"/>
        <w:rPr>
          <w:rFonts w:ascii="Verdana" w:eastAsia="Verdana" w:hAnsi="Verdana" w:cs="Verdana"/>
        </w:rPr>
      </w:pPr>
      <w:r>
        <w:rPr>
          <w:rFonts w:ascii="Verdana" w:eastAsia="Verdana" w:hAnsi="Verdana" w:cs="Verdana"/>
        </w:rPr>
        <w:t>ASU ID: 1218418357</w:t>
      </w:r>
    </w:p>
    <w:p w14:paraId="32C1DD60" w14:textId="77777777" w:rsidR="00C77A90" w:rsidRDefault="00C77A90">
      <w:pPr>
        <w:jc w:val="center"/>
      </w:pPr>
    </w:p>
    <w:p w14:paraId="52566D83" w14:textId="77777777" w:rsidR="00C77A90" w:rsidRDefault="00C77A90">
      <w:pPr>
        <w:jc w:val="center"/>
      </w:pPr>
    </w:p>
    <w:p w14:paraId="58B418EC" w14:textId="77777777" w:rsidR="00C77A90" w:rsidRDefault="00C77A90">
      <w:pPr>
        <w:jc w:val="center"/>
        <w:rPr>
          <w:rFonts w:ascii="Verdana" w:eastAsia="Verdana" w:hAnsi="Verdana" w:cs="Verdana"/>
        </w:rPr>
      </w:pPr>
    </w:p>
    <w:p w14:paraId="102D09E0" w14:textId="77777777" w:rsidR="00C77A90" w:rsidRDefault="009345A6">
      <w:pPr>
        <w:jc w:val="center"/>
        <w:rPr>
          <w:rFonts w:ascii="Verdana" w:eastAsia="Verdana" w:hAnsi="Verdana" w:cs="Verdana"/>
          <w:b/>
          <w:sz w:val="28"/>
          <w:szCs w:val="28"/>
        </w:rPr>
      </w:pPr>
      <w:r>
        <w:rPr>
          <w:rFonts w:ascii="Verdana" w:eastAsia="Verdana" w:hAnsi="Verdana" w:cs="Verdana"/>
          <w:b/>
          <w:sz w:val="28"/>
          <w:szCs w:val="28"/>
        </w:rPr>
        <w:t>Introduction to REFCOUNT cache replacement policy</w:t>
      </w:r>
    </w:p>
    <w:p w14:paraId="2AE09EAF" w14:textId="77777777" w:rsidR="00C77A90" w:rsidRDefault="00C77A90">
      <w:pPr>
        <w:jc w:val="center"/>
        <w:rPr>
          <w:rFonts w:ascii="Verdana" w:eastAsia="Verdana" w:hAnsi="Verdana" w:cs="Verdana"/>
          <w:b/>
        </w:rPr>
      </w:pPr>
    </w:p>
    <w:p w14:paraId="06345DEB" w14:textId="77777777" w:rsidR="00C77A90" w:rsidRDefault="009345A6">
      <w:pPr>
        <w:jc w:val="both"/>
        <w:rPr>
          <w:rFonts w:ascii="Verdana" w:eastAsia="Verdana" w:hAnsi="Verdana" w:cs="Verdana"/>
        </w:rPr>
      </w:pPr>
      <w:r>
        <w:rPr>
          <w:rFonts w:ascii="Verdana" w:eastAsia="Verdana" w:hAnsi="Verdana" w:cs="Verdana"/>
        </w:rPr>
        <w:t xml:space="preserve">The ‘Least recently used’ cache replacement policy is based on when the data was last accessed or touched. If there is a hit, then the accessed block is assigned as </w:t>
      </w:r>
      <w:proofErr w:type="gramStart"/>
      <w:r>
        <w:rPr>
          <w:rFonts w:ascii="Verdana" w:eastAsia="Verdana" w:hAnsi="Verdana" w:cs="Verdana"/>
        </w:rPr>
        <w:t>MRU(</w:t>
      </w:r>
      <w:proofErr w:type="gramEnd"/>
      <w:r>
        <w:rPr>
          <w:rFonts w:ascii="Verdana" w:eastAsia="Verdana" w:hAnsi="Verdana" w:cs="Verdana"/>
        </w:rPr>
        <w:t xml:space="preserve">Most recently used). If there is a </w:t>
      </w:r>
      <w:proofErr w:type="gramStart"/>
      <w:r>
        <w:rPr>
          <w:rFonts w:ascii="Verdana" w:eastAsia="Verdana" w:hAnsi="Verdana" w:cs="Verdana"/>
        </w:rPr>
        <w:t>miss</w:t>
      </w:r>
      <w:proofErr w:type="gramEnd"/>
      <w:r>
        <w:rPr>
          <w:rFonts w:ascii="Verdana" w:eastAsia="Verdana" w:hAnsi="Verdana" w:cs="Verdana"/>
        </w:rPr>
        <w:t xml:space="preserve"> then the LRU block is replaced with the block that caused a miss and makes it MRU. But in recent studies, it has been shown that in a highly associative cache, the gap between the theoretical optimal replacement policies </w:t>
      </w:r>
      <w:proofErr w:type="gramStart"/>
      <w:r>
        <w:rPr>
          <w:rFonts w:ascii="Verdana" w:eastAsia="Verdana" w:hAnsi="Verdana" w:cs="Verdana"/>
        </w:rPr>
        <w:t>and  LRU</w:t>
      </w:r>
      <w:proofErr w:type="gramEnd"/>
      <w:r>
        <w:rPr>
          <w:rFonts w:ascii="Verdana" w:eastAsia="Verdana" w:hAnsi="Verdana" w:cs="Verdana"/>
        </w:rPr>
        <w:t xml:space="preserve"> is very large. The counter-</w:t>
      </w:r>
      <w:proofErr w:type="gramStart"/>
      <w:r>
        <w:rPr>
          <w:rFonts w:ascii="Verdana" w:eastAsia="Verdana" w:hAnsi="Verdana" w:cs="Verdana"/>
        </w:rPr>
        <w:t>based(</w:t>
      </w:r>
      <w:proofErr w:type="gramEnd"/>
      <w:r>
        <w:rPr>
          <w:rFonts w:ascii="Verdana" w:eastAsia="Verdana" w:hAnsi="Verdana" w:cs="Verdana"/>
        </w:rPr>
        <w:t xml:space="preserve">reference counter) cache replacement policy is an approach which significantly improves highly associative cache replacement performance. </w:t>
      </w:r>
    </w:p>
    <w:p w14:paraId="2203B8A5" w14:textId="77777777" w:rsidR="00C77A90" w:rsidRDefault="009345A6">
      <w:pPr>
        <w:jc w:val="both"/>
        <w:rPr>
          <w:rFonts w:ascii="Verdana" w:eastAsia="Verdana" w:hAnsi="Verdana" w:cs="Verdana"/>
        </w:rPr>
      </w:pPr>
      <w:r>
        <w:rPr>
          <w:rFonts w:ascii="Verdana" w:eastAsia="Verdana" w:hAnsi="Verdana" w:cs="Verdana"/>
        </w:rPr>
        <w:t xml:space="preserve">In the </w:t>
      </w:r>
      <w:proofErr w:type="spellStart"/>
      <w:r>
        <w:rPr>
          <w:rFonts w:ascii="Verdana" w:eastAsia="Verdana" w:hAnsi="Verdana" w:cs="Verdana"/>
        </w:rPr>
        <w:t>Refcount</w:t>
      </w:r>
      <w:proofErr w:type="spellEnd"/>
      <w:r>
        <w:rPr>
          <w:rFonts w:ascii="Verdana" w:eastAsia="Verdana" w:hAnsi="Verdana" w:cs="Verdana"/>
        </w:rPr>
        <w:t xml:space="preserve"> cache replacement policy, each of the blocks in a set is given an Event Counter. The Event Counters of all the blocks are incremented whenever there is an event occurring at that set. And when the counter exceeds a given threshold, then that block is selected to be replaced. The </w:t>
      </w:r>
      <w:proofErr w:type="spellStart"/>
      <w:r>
        <w:rPr>
          <w:rFonts w:ascii="Verdana" w:eastAsia="Verdana" w:hAnsi="Verdana" w:cs="Verdana"/>
        </w:rPr>
        <w:t>refcount</w:t>
      </w:r>
      <w:proofErr w:type="spellEnd"/>
      <w:r>
        <w:rPr>
          <w:rFonts w:ascii="Verdana" w:eastAsia="Verdana" w:hAnsi="Verdana" w:cs="Verdana"/>
        </w:rPr>
        <w:t xml:space="preserve"> cache replacement policy predicts the blocks that will not be reused and evicts them. </w:t>
      </w:r>
    </w:p>
    <w:p w14:paraId="03CF553B" w14:textId="77777777" w:rsidR="00C77A90" w:rsidRDefault="009345A6">
      <w:pPr>
        <w:jc w:val="both"/>
        <w:rPr>
          <w:rFonts w:ascii="Verdana" w:eastAsia="Verdana" w:hAnsi="Verdana" w:cs="Verdana"/>
        </w:rPr>
      </w:pPr>
      <w:r>
        <w:rPr>
          <w:rFonts w:ascii="Verdana" w:eastAsia="Verdana" w:hAnsi="Verdana" w:cs="Verdana"/>
        </w:rPr>
        <w:t xml:space="preserve">There are two different types of reference counters based on the type of intervals during which the event counter is incremented. The </w:t>
      </w:r>
      <w:proofErr w:type="gramStart"/>
      <w:r>
        <w:rPr>
          <w:rFonts w:ascii="Verdana" w:eastAsia="Verdana" w:hAnsi="Verdana" w:cs="Verdana"/>
        </w:rPr>
        <w:t>AIP(</w:t>
      </w:r>
      <w:proofErr w:type="gramEnd"/>
      <w:r>
        <w:rPr>
          <w:rFonts w:ascii="Verdana" w:eastAsia="Verdana" w:hAnsi="Verdana" w:cs="Verdana"/>
        </w:rPr>
        <w:t xml:space="preserve">Access Interval Prediction) records the number of access to the set where the line resides, between consecutive access to the line. The </w:t>
      </w:r>
      <w:proofErr w:type="spellStart"/>
      <w:r>
        <w:rPr>
          <w:rFonts w:ascii="Verdana" w:eastAsia="Verdana" w:hAnsi="Verdana" w:cs="Verdana"/>
        </w:rPr>
        <w:t>LvP</w:t>
      </w:r>
      <w:proofErr w:type="spellEnd"/>
      <w:r>
        <w:rPr>
          <w:rFonts w:ascii="Verdana" w:eastAsia="Verdana" w:hAnsi="Verdana" w:cs="Verdana"/>
        </w:rPr>
        <w:t xml:space="preserve"> records the number of accesses to itself during the interval in which the line resides continuously in the cache. The event count threshold is selected conservatively as the maximum of such numbers. In both these algorithms, the cache lines are given an extra 21 bits to store prediction information and an additional 40Kb </w:t>
      </w:r>
      <w:proofErr w:type="spellStart"/>
      <w:r>
        <w:rPr>
          <w:rFonts w:ascii="Verdana" w:eastAsia="Verdana" w:hAnsi="Verdana" w:cs="Verdana"/>
        </w:rPr>
        <w:t>tagless</w:t>
      </w:r>
      <w:proofErr w:type="spellEnd"/>
      <w:r>
        <w:rPr>
          <w:rFonts w:ascii="Verdana" w:eastAsia="Verdana" w:hAnsi="Verdana" w:cs="Verdana"/>
        </w:rPr>
        <w:t xml:space="preserve"> direct-mapped prediction table is added between L2 cache and its lower memory. In this assignment, we are implementing the AIP algorithm.</w:t>
      </w:r>
    </w:p>
    <w:p w14:paraId="44057041" w14:textId="77777777" w:rsidR="00C77A90" w:rsidRDefault="009345A6">
      <w:pPr>
        <w:jc w:val="both"/>
        <w:rPr>
          <w:rFonts w:ascii="Verdana" w:eastAsia="Verdana" w:hAnsi="Verdana" w:cs="Verdana"/>
        </w:rPr>
      </w:pPr>
      <w:r>
        <w:rPr>
          <w:rFonts w:ascii="Verdana" w:eastAsia="Verdana" w:hAnsi="Verdana" w:cs="Verdana"/>
        </w:rPr>
        <w:t xml:space="preserve">In the AIP algorithm, the counter of each block is incremented each time there is access to the set. If the access is a hit, then the maximum counter value is assigned to </w:t>
      </w:r>
      <w:proofErr w:type="spellStart"/>
      <w:r>
        <w:rPr>
          <w:rFonts w:ascii="Verdana" w:eastAsia="Verdana" w:hAnsi="Verdana" w:cs="Verdana"/>
        </w:rPr>
        <w:t>MaxCpresent</w:t>
      </w:r>
      <w:proofErr w:type="spellEnd"/>
      <w:r>
        <w:rPr>
          <w:rFonts w:ascii="Verdana" w:eastAsia="Verdana" w:hAnsi="Verdana" w:cs="Verdana"/>
        </w:rPr>
        <w:t xml:space="preserve">. If </w:t>
      </w:r>
      <w:proofErr w:type="spellStart"/>
      <w:r>
        <w:rPr>
          <w:rFonts w:ascii="Verdana" w:eastAsia="Verdana" w:hAnsi="Verdana" w:cs="Verdana"/>
        </w:rPr>
        <w:t>MaxCpresent</w:t>
      </w:r>
      <w:proofErr w:type="spellEnd"/>
      <w:r>
        <w:rPr>
          <w:rFonts w:ascii="Verdana" w:eastAsia="Verdana" w:hAnsi="Verdana" w:cs="Verdana"/>
        </w:rPr>
        <w:t xml:space="preserve"> is larger than any of the counter values, then no change is made. The counter value of the block which was a hit is made zero. If the access is a miss, then we </w:t>
      </w:r>
      <w:proofErr w:type="gramStart"/>
      <w:r>
        <w:rPr>
          <w:rFonts w:ascii="Verdana" w:eastAsia="Verdana" w:hAnsi="Verdana" w:cs="Verdana"/>
        </w:rPr>
        <w:t>have to</w:t>
      </w:r>
      <w:proofErr w:type="gramEnd"/>
      <w:r>
        <w:rPr>
          <w:rFonts w:ascii="Verdana" w:eastAsia="Verdana" w:hAnsi="Verdana" w:cs="Verdana"/>
        </w:rPr>
        <w:t xml:space="preserve"> find a block that can be evicted. This is done by checking if the counter value of that block is greater than the </w:t>
      </w:r>
      <w:proofErr w:type="spellStart"/>
      <w:r>
        <w:rPr>
          <w:rFonts w:ascii="Verdana" w:eastAsia="Verdana" w:hAnsi="Verdana" w:cs="Verdana"/>
        </w:rPr>
        <w:t>MaxCpresnt</w:t>
      </w:r>
      <w:proofErr w:type="spellEnd"/>
      <w:r>
        <w:rPr>
          <w:rFonts w:ascii="Verdana" w:eastAsia="Verdana" w:hAnsi="Verdana" w:cs="Verdana"/>
        </w:rPr>
        <w:t xml:space="preserve"> Value and </w:t>
      </w:r>
      <w:proofErr w:type="spellStart"/>
      <w:r>
        <w:rPr>
          <w:rFonts w:ascii="Verdana" w:eastAsia="Verdana" w:hAnsi="Verdana" w:cs="Verdana"/>
        </w:rPr>
        <w:t>MaxCpast</w:t>
      </w:r>
      <w:proofErr w:type="spellEnd"/>
      <w:r>
        <w:rPr>
          <w:rFonts w:ascii="Verdana" w:eastAsia="Verdana" w:hAnsi="Verdana" w:cs="Verdana"/>
        </w:rPr>
        <w:t xml:space="preserve"> value and if the Confidence bit is 1. The confidence bit is made 1 whenever </w:t>
      </w:r>
      <w:proofErr w:type="spellStart"/>
      <w:r>
        <w:rPr>
          <w:rFonts w:ascii="Verdana" w:eastAsia="Verdana" w:hAnsi="Verdana" w:cs="Verdana"/>
        </w:rPr>
        <w:t>MaxCpresent</w:t>
      </w:r>
      <w:proofErr w:type="spellEnd"/>
      <w:r>
        <w:rPr>
          <w:rFonts w:ascii="Verdana" w:eastAsia="Verdana" w:hAnsi="Verdana" w:cs="Verdana"/>
        </w:rPr>
        <w:t xml:space="preserve"> value becomes equal to </w:t>
      </w:r>
      <w:proofErr w:type="spellStart"/>
      <w:r>
        <w:rPr>
          <w:rFonts w:ascii="Verdana" w:eastAsia="Verdana" w:hAnsi="Verdana" w:cs="Verdana"/>
        </w:rPr>
        <w:t>MaxCpast</w:t>
      </w:r>
      <w:proofErr w:type="spellEnd"/>
      <w:r>
        <w:rPr>
          <w:rFonts w:ascii="Verdana" w:eastAsia="Verdana" w:hAnsi="Verdana" w:cs="Verdana"/>
        </w:rPr>
        <w:t xml:space="preserve"> value. There might be a case where there is more than one block which has expired. In that case, the block with the highest counter value is evicted. There might also be a case where there is no expired block. In this situation, the LRU block is chosen to be evicted. Once the block to be </w:t>
      </w:r>
      <w:r>
        <w:rPr>
          <w:rFonts w:ascii="Verdana" w:eastAsia="Verdana" w:hAnsi="Verdana" w:cs="Verdana"/>
        </w:rPr>
        <w:lastRenderedPageBreak/>
        <w:t xml:space="preserve">evicted or the victim is chosen, the prediction table is updated with its </w:t>
      </w:r>
      <w:proofErr w:type="spellStart"/>
      <w:r>
        <w:rPr>
          <w:rFonts w:ascii="Verdana" w:eastAsia="Verdana" w:hAnsi="Verdana" w:cs="Verdana"/>
        </w:rPr>
        <w:t>MaxCpresent</w:t>
      </w:r>
      <w:proofErr w:type="spellEnd"/>
      <w:r>
        <w:rPr>
          <w:rFonts w:ascii="Verdana" w:eastAsia="Verdana" w:hAnsi="Verdana" w:cs="Verdana"/>
        </w:rPr>
        <w:t xml:space="preserve"> and conf bit values. And then the new block is placed into the cache after making its counter and </w:t>
      </w:r>
      <w:proofErr w:type="spellStart"/>
      <w:r>
        <w:rPr>
          <w:rFonts w:ascii="Verdana" w:eastAsia="Verdana" w:hAnsi="Verdana" w:cs="Verdana"/>
        </w:rPr>
        <w:t>MaxCpresent</w:t>
      </w:r>
      <w:proofErr w:type="spellEnd"/>
      <w:r>
        <w:rPr>
          <w:rFonts w:ascii="Verdana" w:eastAsia="Verdana" w:hAnsi="Verdana" w:cs="Verdana"/>
        </w:rPr>
        <w:t xml:space="preserve"> value to zero and assigning the </w:t>
      </w:r>
      <w:proofErr w:type="spellStart"/>
      <w:r>
        <w:rPr>
          <w:rFonts w:ascii="Verdana" w:eastAsia="Verdana" w:hAnsi="Verdana" w:cs="Verdana"/>
        </w:rPr>
        <w:t>MaxCstored</w:t>
      </w:r>
      <w:proofErr w:type="spellEnd"/>
      <w:r>
        <w:rPr>
          <w:rFonts w:ascii="Verdana" w:eastAsia="Verdana" w:hAnsi="Verdana" w:cs="Verdana"/>
        </w:rPr>
        <w:t xml:space="preserve"> value as its </w:t>
      </w:r>
      <w:proofErr w:type="spellStart"/>
      <w:r>
        <w:rPr>
          <w:rFonts w:ascii="Verdana" w:eastAsia="Verdana" w:hAnsi="Verdana" w:cs="Verdana"/>
        </w:rPr>
        <w:t>MaxCpast</w:t>
      </w:r>
      <w:proofErr w:type="spellEnd"/>
      <w:r>
        <w:rPr>
          <w:rFonts w:ascii="Verdana" w:eastAsia="Verdana" w:hAnsi="Verdana" w:cs="Verdana"/>
        </w:rPr>
        <w:t xml:space="preserve"> value and </w:t>
      </w:r>
      <w:proofErr w:type="spellStart"/>
      <w:r>
        <w:rPr>
          <w:rFonts w:ascii="Verdana" w:eastAsia="Verdana" w:hAnsi="Verdana" w:cs="Verdana"/>
        </w:rPr>
        <w:t>ConfStored</w:t>
      </w:r>
      <w:proofErr w:type="spellEnd"/>
      <w:r>
        <w:rPr>
          <w:rFonts w:ascii="Verdana" w:eastAsia="Verdana" w:hAnsi="Verdana" w:cs="Verdana"/>
        </w:rPr>
        <w:t xml:space="preserve"> value as its current confidence bit value.</w:t>
      </w:r>
    </w:p>
    <w:p w14:paraId="1FB053D1" w14:textId="77777777" w:rsidR="00C77A90" w:rsidRDefault="009345A6">
      <w:pPr>
        <w:jc w:val="both"/>
        <w:rPr>
          <w:rFonts w:ascii="Verdana" w:eastAsia="Verdana" w:hAnsi="Verdana" w:cs="Verdana"/>
        </w:rPr>
      </w:pPr>
      <w:r>
        <w:rPr>
          <w:rFonts w:ascii="Verdana" w:eastAsia="Verdana" w:hAnsi="Verdana" w:cs="Verdana"/>
        </w:rPr>
        <w:t xml:space="preserve">The </w:t>
      </w:r>
      <w:proofErr w:type="spellStart"/>
      <w:r>
        <w:rPr>
          <w:rFonts w:ascii="Verdana" w:eastAsia="Verdana" w:hAnsi="Verdana" w:cs="Verdana"/>
        </w:rPr>
        <w:t>Refcounter</w:t>
      </w:r>
      <w:proofErr w:type="spellEnd"/>
      <w:r>
        <w:rPr>
          <w:rFonts w:ascii="Verdana" w:eastAsia="Verdana" w:hAnsi="Verdana" w:cs="Verdana"/>
        </w:rPr>
        <w:t xml:space="preserve"> cache replacement policy sped up 10out of 21 Spec2000 applications by up to 40% and the average improvement is 11%. The </w:t>
      </w:r>
      <w:proofErr w:type="spellStart"/>
      <w:r>
        <w:rPr>
          <w:rFonts w:ascii="Verdana" w:eastAsia="Verdana" w:hAnsi="Verdana" w:cs="Verdana"/>
        </w:rPr>
        <w:t>refcount</w:t>
      </w:r>
      <w:proofErr w:type="spellEnd"/>
      <w:r>
        <w:rPr>
          <w:rFonts w:ascii="Verdana" w:eastAsia="Verdana" w:hAnsi="Verdana" w:cs="Verdana"/>
        </w:rPr>
        <w:t xml:space="preserve"> cache replacement policy outperforms other predictors both in accuracy and </w:t>
      </w:r>
      <w:proofErr w:type="gramStart"/>
      <w:r>
        <w:rPr>
          <w:rFonts w:ascii="Verdana" w:eastAsia="Verdana" w:hAnsi="Verdana" w:cs="Verdana"/>
        </w:rPr>
        <w:t>coverage(</w:t>
      </w:r>
      <w:proofErr w:type="gramEnd"/>
      <w:r>
        <w:rPr>
          <w:rFonts w:ascii="Verdana" w:eastAsia="Verdana" w:hAnsi="Verdana" w:cs="Verdana"/>
        </w:rPr>
        <w:t>fraction of total evictions that are initiated by the predictors) while using simpler hardware support.</w:t>
      </w:r>
    </w:p>
    <w:p w14:paraId="4A8C4979" w14:textId="77777777" w:rsidR="00C77A90" w:rsidRDefault="00C77A90">
      <w:pPr>
        <w:jc w:val="both"/>
        <w:rPr>
          <w:rFonts w:ascii="Verdana" w:eastAsia="Verdana" w:hAnsi="Verdana" w:cs="Verdana"/>
        </w:rPr>
      </w:pPr>
    </w:p>
    <w:p w14:paraId="02EB8AEA" w14:textId="77777777" w:rsidR="00C77A90" w:rsidRDefault="00C77A90">
      <w:pPr>
        <w:jc w:val="both"/>
        <w:rPr>
          <w:rFonts w:ascii="Verdana" w:eastAsia="Verdana" w:hAnsi="Verdana" w:cs="Verdana"/>
        </w:rPr>
      </w:pPr>
    </w:p>
    <w:p w14:paraId="213CF253" w14:textId="77777777" w:rsidR="00C77A90" w:rsidRDefault="00C77A90">
      <w:pPr>
        <w:jc w:val="both"/>
        <w:rPr>
          <w:rFonts w:ascii="Verdana" w:eastAsia="Verdana" w:hAnsi="Verdana" w:cs="Verdana"/>
        </w:rPr>
      </w:pPr>
    </w:p>
    <w:p w14:paraId="3A29204A" w14:textId="77777777" w:rsidR="00C77A90" w:rsidRDefault="009345A6">
      <w:pPr>
        <w:numPr>
          <w:ilvl w:val="0"/>
          <w:numId w:val="1"/>
        </w:numPr>
        <w:pBdr>
          <w:top w:val="nil"/>
          <w:left w:val="nil"/>
          <w:bottom w:val="nil"/>
          <w:right w:val="nil"/>
          <w:between w:val="nil"/>
        </w:pBdr>
        <w:rPr>
          <w:rFonts w:ascii="Verdana" w:eastAsia="Verdana" w:hAnsi="Verdana" w:cs="Verdana"/>
          <w:color w:val="000000"/>
        </w:rPr>
      </w:pPr>
      <w:proofErr w:type="spellStart"/>
      <w:r>
        <w:rPr>
          <w:rFonts w:ascii="Verdana" w:eastAsia="Verdana" w:hAnsi="Verdana" w:cs="Verdana"/>
          <w:color w:val="000000"/>
        </w:rPr>
        <w:t>Fluidanimate</w:t>
      </w:r>
      <w:proofErr w:type="spellEnd"/>
      <w:r>
        <w:rPr>
          <w:rFonts w:ascii="Verdana" w:eastAsia="Verdana" w:hAnsi="Verdana" w:cs="Verdana"/>
          <w:color w:val="000000"/>
        </w:rPr>
        <w:t xml:space="preserve"> 1MB and 4MB:</w:t>
      </w:r>
    </w:p>
    <w:tbl>
      <w:tblPr>
        <w:tblStyle w:val="a"/>
        <w:tblW w:w="881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3420"/>
        <w:gridCol w:w="3690"/>
      </w:tblGrid>
      <w:tr w:rsidR="00C77A90" w14:paraId="23E9DF45" w14:textId="77777777" w:rsidTr="009A4923">
        <w:trPr>
          <w:trHeight w:val="709"/>
        </w:trPr>
        <w:tc>
          <w:tcPr>
            <w:tcW w:w="1705" w:type="dxa"/>
          </w:tcPr>
          <w:p w14:paraId="56C881F6" w14:textId="77777777" w:rsidR="00C77A90" w:rsidRDefault="009345A6" w:rsidP="009A4923">
            <w:pPr>
              <w:pBdr>
                <w:top w:val="nil"/>
                <w:left w:val="nil"/>
                <w:bottom w:val="nil"/>
                <w:right w:val="nil"/>
                <w:between w:val="nil"/>
              </w:pBdr>
              <w:spacing w:line="276" w:lineRule="auto"/>
              <w:ind w:hanging="720"/>
              <w:jc w:val="right"/>
              <w:rPr>
                <w:rFonts w:ascii="Verdana" w:eastAsia="Verdana" w:hAnsi="Verdana" w:cs="Verdana"/>
                <w:color w:val="000000"/>
              </w:rPr>
            </w:pPr>
            <w:r>
              <w:rPr>
                <w:rFonts w:ascii="Verdana" w:eastAsia="Verdana" w:hAnsi="Verdana" w:cs="Verdana"/>
                <w:color w:val="000000"/>
              </w:rPr>
              <w:t>L2 Cache Size</w:t>
            </w:r>
          </w:p>
        </w:tc>
        <w:tc>
          <w:tcPr>
            <w:tcW w:w="3420" w:type="dxa"/>
          </w:tcPr>
          <w:p w14:paraId="652E945B" w14:textId="77777777" w:rsidR="00C77A90" w:rsidRDefault="009345A6" w:rsidP="009A4923">
            <w:pPr>
              <w:pBdr>
                <w:top w:val="nil"/>
                <w:left w:val="nil"/>
                <w:bottom w:val="nil"/>
                <w:right w:val="nil"/>
                <w:between w:val="nil"/>
              </w:pBdr>
              <w:spacing w:line="276" w:lineRule="auto"/>
              <w:ind w:hanging="720"/>
              <w:jc w:val="right"/>
              <w:rPr>
                <w:rFonts w:ascii="Verdana" w:eastAsia="Verdana" w:hAnsi="Verdana" w:cs="Verdana"/>
                <w:color w:val="000000"/>
              </w:rPr>
            </w:pPr>
            <w:r>
              <w:rPr>
                <w:rFonts w:ascii="Verdana" w:eastAsia="Verdana" w:hAnsi="Verdana" w:cs="Verdana"/>
                <w:color w:val="000000"/>
              </w:rPr>
              <w:t>LRU Replacement Policy</w:t>
            </w:r>
          </w:p>
        </w:tc>
        <w:tc>
          <w:tcPr>
            <w:tcW w:w="3690" w:type="dxa"/>
          </w:tcPr>
          <w:p w14:paraId="46FE46AB" w14:textId="77777777" w:rsidR="00C77A90" w:rsidRDefault="009345A6" w:rsidP="009A4923">
            <w:pPr>
              <w:pBdr>
                <w:top w:val="nil"/>
                <w:left w:val="nil"/>
                <w:bottom w:val="nil"/>
                <w:right w:val="nil"/>
                <w:between w:val="nil"/>
              </w:pBdr>
              <w:spacing w:line="276" w:lineRule="auto"/>
              <w:ind w:hanging="720"/>
              <w:jc w:val="right"/>
              <w:rPr>
                <w:rFonts w:ascii="Verdana" w:eastAsia="Verdana" w:hAnsi="Verdana" w:cs="Verdana"/>
                <w:color w:val="000000"/>
              </w:rPr>
            </w:pPr>
            <w:r>
              <w:rPr>
                <w:rFonts w:ascii="Verdana" w:eastAsia="Verdana" w:hAnsi="Verdana" w:cs="Verdana"/>
                <w:color w:val="000000"/>
              </w:rPr>
              <w:t>REFCOUNT Replacement Policy</w:t>
            </w:r>
          </w:p>
        </w:tc>
      </w:tr>
      <w:tr w:rsidR="00C77A90" w14:paraId="177D11BC" w14:textId="77777777" w:rsidTr="009A4923">
        <w:trPr>
          <w:trHeight w:val="709"/>
        </w:trPr>
        <w:tc>
          <w:tcPr>
            <w:tcW w:w="1705" w:type="dxa"/>
          </w:tcPr>
          <w:p w14:paraId="5E27290A" w14:textId="1EDC246F" w:rsidR="00C77A90" w:rsidRDefault="009345A6" w:rsidP="009A4923">
            <w:pPr>
              <w:pBdr>
                <w:top w:val="nil"/>
                <w:left w:val="nil"/>
                <w:bottom w:val="nil"/>
                <w:right w:val="nil"/>
                <w:between w:val="nil"/>
              </w:pBdr>
              <w:spacing w:line="276" w:lineRule="auto"/>
              <w:ind w:hanging="720"/>
              <w:jc w:val="right"/>
              <w:rPr>
                <w:rFonts w:ascii="Verdana" w:eastAsia="Verdana" w:hAnsi="Verdana" w:cs="Verdana"/>
                <w:color w:val="000000"/>
              </w:rPr>
            </w:pPr>
            <w:r>
              <w:rPr>
                <w:rFonts w:ascii="Verdana" w:eastAsia="Verdana" w:hAnsi="Verdana" w:cs="Verdana"/>
                <w:color w:val="000000"/>
              </w:rPr>
              <w:t>1MB</w:t>
            </w:r>
          </w:p>
        </w:tc>
        <w:tc>
          <w:tcPr>
            <w:tcW w:w="3420" w:type="dxa"/>
          </w:tcPr>
          <w:p w14:paraId="1F5E4FB5" w14:textId="58B1352F" w:rsidR="00C77A90" w:rsidRDefault="001162FA" w:rsidP="009A4923">
            <w:pPr>
              <w:pBdr>
                <w:top w:val="nil"/>
                <w:left w:val="nil"/>
                <w:bottom w:val="nil"/>
                <w:right w:val="nil"/>
                <w:between w:val="nil"/>
              </w:pBdr>
              <w:spacing w:line="276" w:lineRule="auto"/>
              <w:ind w:hanging="720"/>
              <w:jc w:val="right"/>
              <w:rPr>
                <w:rFonts w:ascii="Verdana" w:eastAsia="Verdana" w:hAnsi="Verdana" w:cs="Verdana"/>
                <w:color w:val="000000"/>
              </w:rPr>
            </w:pPr>
            <w:r>
              <w:rPr>
                <w:rFonts w:ascii="Verdana" w:eastAsia="Verdana" w:hAnsi="Verdana" w:cs="Verdana"/>
                <w:color w:val="000000"/>
              </w:rPr>
              <w:t>56.9813</w:t>
            </w:r>
          </w:p>
        </w:tc>
        <w:tc>
          <w:tcPr>
            <w:tcW w:w="3690" w:type="dxa"/>
          </w:tcPr>
          <w:p w14:paraId="00249BE3" w14:textId="17AB060C" w:rsidR="00C77A90" w:rsidRDefault="009A4923" w:rsidP="009A4923">
            <w:pPr>
              <w:pBdr>
                <w:top w:val="nil"/>
                <w:left w:val="nil"/>
                <w:bottom w:val="nil"/>
                <w:right w:val="nil"/>
                <w:between w:val="nil"/>
              </w:pBdr>
              <w:spacing w:line="276" w:lineRule="auto"/>
              <w:ind w:hanging="720"/>
              <w:jc w:val="right"/>
              <w:rPr>
                <w:rFonts w:ascii="Verdana" w:eastAsia="Verdana" w:hAnsi="Verdana" w:cs="Verdana"/>
                <w:color w:val="000000"/>
              </w:rPr>
            </w:pPr>
            <w:r>
              <w:rPr>
                <w:rFonts w:ascii="Verdana" w:eastAsia="Verdana" w:hAnsi="Verdana" w:cs="Verdana"/>
                <w:color w:val="000000"/>
              </w:rPr>
              <w:t>60.0607</w:t>
            </w:r>
          </w:p>
        </w:tc>
      </w:tr>
      <w:tr w:rsidR="00C77A90" w14:paraId="5D899E2A" w14:textId="77777777" w:rsidTr="009A4923">
        <w:trPr>
          <w:trHeight w:val="709"/>
        </w:trPr>
        <w:tc>
          <w:tcPr>
            <w:tcW w:w="1705" w:type="dxa"/>
          </w:tcPr>
          <w:p w14:paraId="341E0A9A" w14:textId="10360EAC" w:rsidR="00C77A90" w:rsidRDefault="009345A6" w:rsidP="009A4923">
            <w:pPr>
              <w:pBdr>
                <w:top w:val="nil"/>
                <w:left w:val="nil"/>
                <w:bottom w:val="nil"/>
                <w:right w:val="nil"/>
                <w:between w:val="nil"/>
              </w:pBdr>
              <w:spacing w:line="276" w:lineRule="auto"/>
              <w:ind w:hanging="720"/>
              <w:jc w:val="right"/>
              <w:rPr>
                <w:rFonts w:ascii="Verdana" w:eastAsia="Verdana" w:hAnsi="Verdana" w:cs="Verdana"/>
                <w:color w:val="000000"/>
              </w:rPr>
            </w:pPr>
            <w:r>
              <w:rPr>
                <w:rFonts w:ascii="Verdana" w:eastAsia="Verdana" w:hAnsi="Verdana" w:cs="Verdana"/>
                <w:color w:val="000000"/>
              </w:rPr>
              <w:t>4MB</w:t>
            </w:r>
          </w:p>
        </w:tc>
        <w:tc>
          <w:tcPr>
            <w:tcW w:w="3420" w:type="dxa"/>
          </w:tcPr>
          <w:p w14:paraId="7F898BB7" w14:textId="47B07EC4" w:rsidR="00C77A90" w:rsidRDefault="005D1B2B" w:rsidP="009A4923">
            <w:pPr>
              <w:pBdr>
                <w:top w:val="nil"/>
                <w:left w:val="nil"/>
                <w:bottom w:val="nil"/>
                <w:right w:val="nil"/>
                <w:between w:val="nil"/>
              </w:pBdr>
              <w:spacing w:line="276" w:lineRule="auto"/>
              <w:ind w:hanging="720"/>
              <w:jc w:val="right"/>
              <w:rPr>
                <w:rFonts w:ascii="Verdana" w:eastAsia="Verdana" w:hAnsi="Verdana" w:cs="Verdana"/>
                <w:color w:val="000000"/>
              </w:rPr>
            </w:pPr>
            <w:r>
              <w:rPr>
                <w:rFonts w:ascii="Verdana" w:eastAsia="Verdana" w:hAnsi="Verdana" w:cs="Verdana"/>
                <w:color w:val="000000"/>
              </w:rPr>
              <w:t>48.0429</w:t>
            </w:r>
          </w:p>
        </w:tc>
        <w:tc>
          <w:tcPr>
            <w:tcW w:w="3690" w:type="dxa"/>
          </w:tcPr>
          <w:p w14:paraId="5AC1F2BA" w14:textId="02142019" w:rsidR="00C77A90" w:rsidRDefault="009A4923" w:rsidP="009A4923">
            <w:pPr>
              <w:pBdr>
                <w:top w:val="nil"/>
                <w:left w:val="nil"/>
                <w:bottom w:val="nil"/>
                <w:right w:val="nil"/>
                <w:between w:val="nil"/>
              </w:pBdr>
              <w:spacing w:line="276" w:lineRule="auto"/>
              <w:ind w:hanging="720"/>
              <w:jc w:val="right"/>
              <w:rPr>
                <w:rFonts w:ascii="Verdana" w:eastAsia="Verdana" w:hAnsi="Verdana" w:cs="Verdana"/>
                <w:color w:val="000000"/>
              </w:rPr>
            </w:pPr>
            <w:r>
              <w:rPr>
                <w:rFonts w:ascii="Verdana" w:eastAsia="Verdana" w:hAnsi="Verdana" w:cs="Verdana"/>
                <w:color w:val="000000"/>
              </w:rPr>
              <w:t>51.9593</w:t>
            </w:r>
          </w:p>
        </w:tc>
      </w:tr>
    </w:tbl>
    <w:p w14:paraId="0111F8A5" w14:textId="77777777" w:rsidR="00CE1800" w:rsidRDefault="00CE1800">
      <w:pPr>
        <w:pBdr>
          <w:top w:val="nil"/>
          <w:left w:val="nil"/>
          <w:bottom w:val="nil"/>
          <w:right w:val="nil"/>
          <w:between w:val="nil"/>
        </w:pBdr>
        <w:ind w:left="720" w:hanging="720"/>
        <w:rPr>
          <w:rFonts w:ascii="Verdana" w:eastAsia="Verdana" w:hAnsi="Verdana" w:cs="Verdana"/>
          <w:color w:val="000000"/>
        </w:rPr>
      </w:pPr>
    </w:p>
    <w:p w14:paraId="26FAC3DC" w14:textId="77777777" w:rsidR="00CE1800" w:rsidRDefault="00CE1800">
      <w:pPr>
        <w:pBdr>
          <w:top w:val="nil"/>
          <w:left w:val="nil"/>
          <w:bottom w:val="nil"/>
          <w:right w:val="nil"/>
          <w:between w:val="nil"/>
        </w:pBdr>
        <w:ind w:left="720" w:hanging="720"/>
        <w:rPr>
          <w:rFonts w:ascii="Verdana" w:eastAsia="Verdana" w:hAnsi="Verdana" w:cs="Verdana"/>
          <w:color w:val="000000"/>
        </w:rPr>
      </w:pPr>
    </w:p>
    <w:p w14:paraId="03858DE0" w14:textId="3F70787E" w:rsidR="00C77A90" w:rsidRDefault="00CE1800">
      <w:pPr>
        <w:pBdr>
          <w:top w:val="nil"/>
          <w:left w:val="nil"/>
          <w:bottom w:val="nil"/>
          <w:right w:val="nil"/>
          <w:between w:val="nil"/>
        </w:pBdr>
        <w:ind w:left="720" w:hanging="720"/>
        <w:rPr>
          <w:rFonts w:ascii="Verdana" w:eastAsia="Verdana" w:hAnsi="Verdana" w:cs="Verdana"/>
          <w:color w:val="000000"/>
        </w:rPr>
      </w:pPr>
      <w:r>
        <w:rPr>
          <w:noProof/>
        </w:rPr>
        <w:drawing>
          <wp:inline distT="0" distB="0" distL="0" distR="0" wp14:anchorId="154C0111" wp14:editId="412203BE">
            <wp:extent cx="5402580" cy="2743200"/>
            <wp:effectExtent l="0" t="0" r="7620" b="0"/>
            <wp:docPr id="1" name="Chart 1">
              <a:extLst xmlns:a="http://schemas.openxmlformats.org/drawingml/2006/main">
                <a:ext uri="{FF2B5EF4-FFF2-40B4-BE49-F238E27FC236}">
                  <a16:creationId xmlns:a16="http://schemas.microsoft.com/office/drawing/2014/main" id="{AC309817-4118-4A88-823F-A14262C3C2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9345A6">
        <w:rPr>
          <w:rFonts w:ascii="Verdana" w:eastAsia="Verdana" w:hAnsi="Verdana" w:cs="Verdana"/>
          <w:color w:val="000000"/>
        </w:rPr>
        <w:br/>
      </w:r>
    </w:p>
    <w:p w14:paraId="58CB40CE" w14:textId="0882002C" w:rsidR="009D5DC9" w:rsidRDefault="009D5DC9">
      <w:pPr>
        <w:pBdr>
          <w:top w:val="nil"/>
          <w:left w:val="nil"/>
          <w:bottom w:val="nil"/>
          <w:right w:val="nil"/>
          <w:between w:val="nil"/>
        </w:pBdr>
        <w:ind w:left="720" w:hanging="720"/>
        <w:rPr>
          <w:rFonts w:ascii="Verdana" w:eastAsia="Verdana" w:hAnsi="Verdana" w:cs="Verdana"/>
          <w:color w:val="000000"/>
        </w:rPr>
      </w:pPr>
    </w:p>
    <w:p w14:paraId="7E4D4995" w14:textId="760CE2C5" w:rsidR="009D5DC9" w:rsidRDefault="009D5DC9">
      <w:pPr>
        <w:pBdr>
          <w:top w:val="nil"/>
          <w:left w:val="nil"/>
          <w:bottom w:val="nil"/>
          <w:right w:val="nil"/>
          <w:between w:val="nil"/>
        </w:pBdr>
        <w:ind w:left="720" w:hanging="720"/>
        <w:rPr>
          <w:rFonts w:ascii="Verdana" w:eastAsia="Verdana" w:hAnsi="Verdana" w:cs="Verdana"/>
          <w:color w:val="000000"/>
        </w:rPr>
      </w:pPr>
    </w:p>
    <w:p w14:paraId="67649354" w14:textId="1874EFC9" w:rsidR="009D5DC9" w:rsidRDefault="009D5DC9">
      <w:pPr>
        <w:pBdr>
          <w:top w:val="nil"/>
          <w:left w:val="nil"/>
          <w:bottom w:val="nil"/>
          <w:right w:val="nil"/>
          <w:between w:val="nil"/>
        </w:pBdr>
        <w:ind w:left="720" w:hanging="720"/>
        <w:rPr>
          <w:rFonts w:ascii="Verdana" w:eastAsia="Verdana" w:hAnsi="Verdana" w:cs="Verdana"/>
          <w:color w:val="000000"/>
        </w:rPr>
      </w:pPr>
    </w:p>
    <w:p w14:paraId="591FA592" w14:textId="2E1FAAAE" w:rsidR="009D5DC9" w:rsidRDefault="009D5DC9">
      <w:pPr>
        <w:pBdr>
          <w:top w:val="nil"/>
          <w:left w:val="nil"/>
          <w:bottom w:val="nil"/>
          <w:right w:val="nil"/>
          <w:between w:val="nil"/>
        </w:pBdr>
        <w:ind w:left="720" w:hanging="720"/>
        <w:rPr>
          <w:rFonts w:ascii="Verdana" w:eastAsia="Verdana" w:hAnsi="Verdana" w:cs="Verdana"/>
          <w:color w:val="000000"/>
        </w:rPr>
      </w:pPr>
    </w:p>
    <w:p w14:paraId="0FE3AA7C" w14:textId="77777777" w:rsidR="009D5DC9" w:rsidRDefault="009D5DC9">
      <w:pPr>
        <w:pBdr>
          <w:top w:val="nil"/>
          <w:left w:val="nil"/>
          <w:bottom w:val="nil"/>
          <w:right w:val="nil"/>
          <w:between w:val="nil"/>
        </w:pBdr>
        <w:ind w:left="720" w:hanging="720"/>
        <w:rPr>
          <w:rFonts w:ascii="Verdana" w:eastAsia="Verdana" w:hAnsi="Verdana" w:cs="Verdana"/>
          <w:color w:val="000000"/>
        </w:rPr>
      </w:pPr>
      <w:bookmarkStart w:id="0" w:name="_GoBack"/>
      <w:bookmarkEnd w:id="0"/>
    </w:p>
    <w:p w14:paraId="35A06AF8" w14:textId="77777777" w:rsidR="00C77A90" w:rsidRDefault="009345A6">
      <w:pPr>
        <w:numPr>
          <w:ilvl w:val="0"/>
          <w:numId w:val="1"/>
        </w:numPr>
        <w:pBdr>
          <w:top w:val="nil"/>
          <w:left w:val="nil"/>
          <w:bottom w:val="nil"/>
          <w:right w:val="nil"/>
          <w:between w:val="nil"/>
        </w:pBdr>
        <w:rPr>
          <w:rFonts w:ascii="Verdana" w:eastAsia="Verdana" w:hAnsi="Verdana" w:cs="Verdana"/>
          <w:color w:val="000000"/>
        </w:rPr>
      </w:pPr>
      <w:proofErr w:type="spellStart"/>
      <w:r>
        <w:rPr>
          <w:rFonts w:ascii="Verdana" w:eastAsia="Verdana" w:hAnsi="Verdana" w:cs="Verdana"/>
          <w:color w:val="000000"/>
        </w:rPr>
        <w:lastRenderedPageBreak/>
        <w:t>Bodytrack</w:t>
      </w:r>
      <w:proofErr w:type="spellEnd"/>
      <w:r>
        <w:rPr>
          <w:rFonts w:ascii="Verdana" w:eastAsia="Verdana" w:hAnsi="Verdana" w:cs="Verdana"/>
          <w:color w:val="000000"/>
        </w:rPr>
        <w:t xml:space="preserve"> 1MB and 4MB:</w:t>
      </w:r>
      <w:r>
        <w:rPr>
          <w:rFonts w:ascii="Verdana" w:eastAsia="Verdana" w:hAnsi="Verdana" w:cs="Verdana"/>
          <w:color w:val="000000"/>
        </w:rPr>
        <w:br/>
      </w:r>
    </w:p>
    <w:tbl>
      <w:tblPr>
        <w:tblStyle w:val="a0"/>
        <w:tblW w:w="891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10"/>
        <w:gridCol w:w="3510"/>
        <w:gridCol w:w="3690"/>
      </w:tblGrid>
      <w:tr w:rsidR="00C77A90" w14:paraId="0CE9C2B1" w14:textId="77777777" w:rsidTr="009A4923">
        <w:trPr>
          <w:trHeight w:val="709"/>
        </w:trPr>
        <w:tc>
          <w:tcPr>
            <w:tcW w:w="1710" w:type="dxa"/>
          </w:tcPr>
          <w:p w14:paraId="66348675" w14:textId="77777777" w:rsidR="00C77A90" w:rsidRDefault="009345A6" w:rsidP="009A4923">
            <w:pPr>
              <w:pBdr>
                <w:top w:val="nil"/>
                <w:left w:val="nil"/>
                <w:bottom w:val="nil"/>
                <w:right w:val="nil"/>
                <w:between w:val="nil"/>
              </w:pBdr>
              <w:spacing w:line="276" w:lineRule="auto"/>
              <w:ind w:hanging="720"/>
              <w:jc w:val="right"/>
              <w:rPr>
                <w:rFonts w:ascii="Verdana" w:eastAsia="Verdana" w:hAnsi="Verdana" w:cs="Verdana"/>
                <w:color w:val="000000"/>
              </w:rPr>
            </w:pPr>
            <w:r>
              <w:rPr>
                <w:rFonts w:ascii="Verdana" w:eastAsia="Verdana" w:hAnsi="Verdana" w:cs="Verdana"/>
                <w:color w:val="000000"/>
              </w:rPr>
              <w:t>L2 Cache Size</w:t>
            </w:r>
          </w:p>
        </w:tc>
        <w:tc>
          <w:tcPr>
            <w:tcW w:w="3510" w:type="dxa"/>
          </w:tcPr>
          <w:p w14:paraId="08171298" w14:textId="77777777" w:rsidR="00C77A90" w:rsidRDefault="009345A6" w:rsidP="009A4923">
            <w:pPr>
              <w:pBdr>
                <w:top w:val="nil"/>
                <w:left w:val="nil"/>
                <w:bottom w:val="nil"/>
                <w:right w:val="nil"/>
                <w:between w:val="nil"/>
              </w:pBdr>
              <w:spacing w:line="276" w:lineRule="auto"/>
              <w:ind w:hanging="720"/>
              <w:jc w:val="right"/>
              <w:rPr>
                <w:rFonts w:ascii="Verdana" w:eastAsia="Verdana" w:hAnsi="Verdana" w:cs="Verdana"/>
                <w:color w:val="000000"/>
              </w:rPr>
            </w:pPr>
            <w:r>
              <w:rPr>
                <w:rFonts w:ascii="Verdana" w:eastAsia="Verdana" w:hAnsi="Verdana" w:cs="Verdana"/>
                <w:color w:val="000000"/>
              </w:rPr>
              <w:t>LRU Replacement Policy</w:t>
            </w:r>
          </w:p>
        </w:tc>
        <w:tc>
          <w:tcPr>
            <w:tcW w:w="3690" w:type="dxa"/>
          </w:tcPr>
          <w:p w14:paraId="78310DC2" w14:textId="77777777" w:rsidR="00C77A90" w:rsidRDefault="009345A6" w:rsidP="009A4923">
            <w:pPr>
              <w:pBdr>
                <w:top w:val="nil"/>
                <w:left w:val="nil"/>
                <w:bottom w:val="nil"/>
                <w:right w:val="nil"/>
                <w:between w:val="nil"/>
              </w:pBdr>
              <w:spacing w:line="276" w:lineRule="auto"/>
              <w:ind w:hanging="720"/>
              <w:jc w:val="right"/>
              <w:rPr>
                <w:rFonts w:ascii="Verdana" w:eastAsia="Verdana" w:hAnsi="Verdana" w:cs="Verdana"/>
                <w:color w:val="000000"/>
              </w:rPr>
            </w:pPr>
            <w:r>
              <w:rPr>
                <w:rFonts w:ascii="Verdana" w:eastAsia="Verdana" w:hAnsi="Verdana" w:cs="Verdana"/>
                <w:color w:val="000000"/>
              </w:rPr>
              <w:t>REFCOUNT Replacement Policy</w:t>
            </w:r>
          </w:p>
        </w:tc>
      </w:tr>
      <w:tr w:rsidR="00C77A90" w14:paraId="40D3B56B" w14:textId="77777777" w:rsidTr="009A4923">
        <w:trPr>
          <w:trHeight w:val="709"/>
        </w:trPr>
        <w:tc>
          <w:tcPr>
            <w:tcW w:w="1710" w:type="dxa"/>
          </w:tcPr>
          <w:p w14:paraId="7EDEB379" w14:textId="77777777" w:rsidR="00C77A90" w:rsidRDefault="009345A6" w:rsidP="009A4923">
            <w:pPr>
              <w:pBdr>
                <w:top w:val="nil"/>
                <w:left w:val="nil"/>
                <w:bottom w:val="nil"/>
                <w:right w:val="nil"/>
                <w:between w:val="nil"/>
              </w:pBdr>
              <w:spacing w:line="276" w:lineRule="auto"/>
              <w:ind w:hanging="720"/>
              <w:jc w:val="right"/>
              <w:rPr>
                <w:rFonts w:ascii="Verdana" w:eastAsia="Verdana" w:hAnsi="Verdana" w:cs="Verdana"/>
                <w:color w:val="000000"/>
              </w:rPr>
            </w:pPr>
            <w:r>
              <w:rPr>
                <w:rFonts w:ascii="Verdana" w:eastAsia="Verdana" w:hAnsi="Verdana" w:cs="Verdana"/>
                <w:color w:val="000000"/>
              </w:rPr>
              <w:t>1MB</w:t>
            </w:r>
          </w:p>
        </w:tc>
        <w:tc>
          <w:tcPr>
            <w:tcW w:w="3510" w:type="dxa"/>
          </w:tcPr>
          <w:p w14:paraId="40982B7B" w14:textId="1CFDC974" w:rsidR="00C77A90" w:rsidRDefault="00FC5E43" w:rsidP="009A4923">
            <w:pPr>
              <w:pBdr>
                <w:top w:val="nil"/>
                <w:left w:val="nil"/>
                <w:bottom w:val="nil"/>
                <w:right w:val="nil"/>
                <w:between w:val="nil"/>
              </w:pBdr>
              <w:spacing w:line="276" w:lineRule="auto"/>
              <w:ind w:hanging="720"/>
              <w:jc w:val="right"/>
              <w:rPr>
                <w:rFonts w:ascii="Verdana" w:eastAsia="Verdana" w:hAnsi="Verdana" w:cs="Verdana"/>
                <w:color w:val="000000"/>
              </w:rPr>
            </w:pPr>
            <w:r>
              <w:rPr>
                <w:rFonts w:ascii="Verdana" w:eastAsia="Verdana" w:hAnsi="Verdana" w:cs="Verdana"/>
                <w:color w:val="000000"/>
              </w:rPr>
              <w:t>13.3891</w:t>
            </w:r>
          </w:p>
        </w:tc>
        <w:tc>
          <w:tcPr>
            <w:tcW w:w="3690" w:type="dxa"/>
          </w:tcPr>
          <w:p w14:paraId="28C8F7B5" w14:textId="0104AC7A" w:rsidR="00C77A90" w:rsidRDefault="006F5995" w:rsidP="009A4923">
            <w:pPr>
              <w:pBdr>
                <w:top w:val="nil"/>
                <w:left w:val="nil"/>
                <w:bottom w:val="nil"/>
                <w:right w:val="nil"/>
                <w:between w:val="nil"/>
              </w:pBdr>
              <w:spacing w:line="276" w:lineRule="auto"/>
              <w:ind w:hanging="720"/>
              <w:jc w:val="right"/>
              <w:rPr>
                <w:rFonts w:ascii="Verdana" w:eastAsia="Verdana" w:hAnsi="Verdana" w:cs="Verdana"/>
                <w:color w:val="000000"/>
              </w:rPr>
            </w:pPr>
            <w:r>
              <w:rPr>
                <w:rFonts w:ascii="Verdana" w:eastAsia="Verdana" w:hAnsi="Verdana" w:cs="Verdana"/>
                <w:color w:val="000000"/>
              </w:rPr>
              <w:t>16.3913</w:t>
            </w:r>
          </w:p>
        </w:tc>
      </w:tr>
      <w:tr w:rsidR="00C77A90" w14:paraId="22BD27ED" w14:textId="77777777" w:rsidTr="009A4923">
        <w:trPr>
          <w:trHeight w:val="709"/>
        </w:trPr>
        <w:tc>
          <w:tcPr>
            <w:tcW w:w="1710" w:type="dxa"/>
          </w:tcPr>
          <w:p w14:paraId="14E39B79" w14:textId="298E84C6" w:rsidR="00C77A90" w:rsidRDefault="009A4923" w:rsidP="009A4923">
            <w:pPr>
              <w:pBdr>
                <w:top w:val="nil"/>
                <w:left w:val="nil"/>
                <w:bottom w:val="nil"/>
                <w:right w:val="nil"/>
                <w:between w:val="nil"/>
              </w:pBdr>
              <w:spacing w:line="276" w:lineRule="auto"/>
              <w:ind w:hanging="720"/>
              <w:jc w:val="right"/>
              <w:rPr>
                <w:rFonts w:ascii="Verdana" w:eastAsia="Verdana" w:hAnsi="Verdana" w:cs="Verdana"/>
                <w:color w:val="000000"/>
              </w:rPr>
            </w:pPr>
            <w:r>
              <w:rPr>
                <w:rFonts w:ascii="Verdana" w:eastAsia="Verdana" w:hAnsi="Verdana" w:cs="Verdana"/>
                <w:color w:val="000000"/>
              </w:rPr>
              <w:t>4MB</w:t>
            </w:r>
          </w:p>
        </w:tc>
        <w:tc>
          <w:tcPr>
            <w:tcW w:w="3510" w:type="dxa"/>
          </w:tcPr>
          <w:p w14:paraId="7AD01D03" w14:textId="27410BA5" w:rsidR="00C77A90" w:rsidRDefault="00FC5E43" w:rsidP="009A4923">
            <w:pPr>
              <w:pBdr>
                <w:top w:val="nil"/>
                <w:left w:val="nil"/>
                <w:bottom w:val="nil"/>
                <w:right w:val="nil"/>
                <w:between w:val="nil"/>
              </w:pBdr>
              <w:spacing w:line="276" w:lineRule="auto"/>
              <w:ind w:hanging="720"/>
              <w:jc w:val="right"/>
              <w:rPr>
                <w:rFonts w:ascii="Verdana" w:eastAsia="Verdana" w:hAnsi="Verdana" w:cs="Verdana"/>
                <w:color w:val="000000"/>
              </w:rPr>
            </w:pPr>
            <w:r>
              <w:rPr>
                <w:rFonts w:ascii="Verdana" w:eastAsia="Verdana" w:hAnsi="Verdana" w:cs="Verdana"/>
                <w:color w:val="000000"/>
              </w:rPr>
              <w:t>9.9800</w:t>
            </w:r>
          </w:p>
        </w:tc>
        <w:tc>
          <w:tcPr>
            <w:tcW w:w="3690" w:type="dxa"/>
          </w:tcPr>
          <w:p w14:paraId="1CF5F4CD" w14:textId="7DC21002" w:rsidR="00C77A90" w:rsidRDefault="006F5995" w:rsidP="009A4923">
            <w:pPr>
              <w:pBdr>
                <w:top w:val="nil"/>
                <w:left w:val="nil"/>
                <w:bottom w:val="nil"/>
                <w:right w:val="nil"/>
                <w:between w:val="nil"/>
              </w:pBdr>
              <w:spacing w:line="276" w:lineRule="auto"/>
              <w:ind w:hanging="720"/>
              <w:jc w:val="right"/>
              <w:rPr>
                <w:rFonts w:ascii="Verdana" w:eastAsia="Verdana" w:hAnsi="Verdana" w:cs="Verdana"/>
                <w:color w:val="000000"/>
              </w:rPr>
            </w:pPr>
            <w:r>
              <w:rPr>
                <w:rFonts w:ascii="Verdana" w:eastAsia="Verdana" w:hAnsi="Verdana" w:cs="Verdana"/>
                <w:color w:val="000000"/>
              </w:rPr>
              <w:t>11.1369</w:t>
            </w:r>
          </w:p>
        </w:tc>
      </w:tr>
    </w:tbl>
    <w:p w14:paraId="4DB18590" w14:textId="77777777" w:rsidR="00C77A90" w:rsidRDefault="00C77A90">
      <w:pPr>
        <w:pBdr>
          <w:top w:val="nil"/>
          <w:left w:val="nil"/>
          <w:bottom w:val="nil"/>
          <w:right w:val="nil"/>
          <w:between w:val="nil"/>
        </w:pBdr>
        <w:ind w:left="720" w:hanging="720"/>
        <w:rPr>
          <w:rFonts w:ascii="Verdana" w:eastAsia="Verdana" w:hAnsi="Verdana" w:cs="Verdana"/>
          <w:color w:val="000000"/>
        </w:rPr>
      </w:pPr>
      <w:bookmarkStart w:id="1" w:name="_heading=h.gjdgxs" w:colFirst="0" w:colLast="0"/>
      <w:bookmarkEnd w:id="1"/>
    </w:p>
    <w:p w14:paraId="2E5DD6AE" w14:textId="77777777" w:rsidR="00C77A90" w:rsidRDefault="00C77A90">
      <w:pPr>
        <w:jc w:val="both"/>
        <w:rPr>
          <w:b/>
        </w:rPr>
      </w:pPr>
    </w:p>
    <w:p w14:paraId="6101A43B" w14:textId="19C8E4ED" w:rsidR="00C77A90" w:rsidRDefault="00FC5E43">
      <w:r>
        <w:rPr>
          <w:noProof/>
        </w:rPr>
        <w:drawing>
          <wp:inline distT="0" distB="0" distL="0" distR="0" wp14:anchorId="4B031F5B" wp14:editId="3C846DAE">
            <wp:extent cx="6210300" cy="2743200"/>
            <wp:effectExtent l="0" t="0" r="0" b="0"/>
            <wp:docPr id="2" name="Chart 2">
              <a:extLst xmlns:a="http://schemas.openxmlformats.org/drawingml/2006/main">
                <a:ext uri="{FF2B5EF4-FFF2-40B4-BE49-F238E27FC236}">
                  <a16:creationId xmlns:a16="http://schemas.microsoft.com/office/drawing/2014/main" id="{0FCAFA35-5F2B-45F7-B0C1-D025B4A418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C77A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732B53"/>
    <w:multiLevelType w:val="multilevel"/>
    <w:tmpl w:val="9BF6D6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7A90"/>
    <w:rsid w:val="001162FA"/>
    <w:rsid w:val="005D1B2B"/>
    <w:rsid w:val="006F5995"/>
    <w:rsid w:val="009345A6"/>
    <w:rsid w:val="009A4923"/>
    <w:rsid w:val="009D5DC9"/>
    <w:rsid w:val="00C77A90"/>
    <w:rsid w:val="00CE1800"/>
    <w:rsid w:val="00FC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CF07"/>
  <w15:docId w15:val="{2437FC1E-AD7F-403C-950C-5C70D8F2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D66ED"/>
    <w:pPr>
      <w:ind w:left="720"/>
      <w:contextualSpacing/>
    </w:pPr>
  </w:style>
  <w:style w:type="table" w:styleId="TableGrid">
    <w:name w:val="Table Grid"/>
    <w:basedOn w:val="TableNormal"/>
    <w:uiPriority w:val="39"/>
    <w:rsid w:val="009D66E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ayat\OneDrive\Desktop\Vasu\Replacement%20policies%20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ayat\OneDrive\Desktop\Vasu\Replacement%20policies%20sta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Fluidanimate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Sheet1!$G$4</c:f>
              <c:strCache>
                <c:ptCount val="1"/>
                <c:pt idx="0">
                  <c:v>1MB</c:v>
                </c:pt>
              </c:strCache>
            </c:strRef>
          </c:tx>
          <c:spPr>
            <a:solidFill>
              <a:schemeClr val="accent1"/>
            </a:solidFill>
            <a:ln>
              <a:noFill/>
            </a:ln>
            <a:effectLst/>
          </c:spPr>
          <c:invertIfNegative val="0"/>
          <c:cat>
            <c:strRef>
              <c:f>Sheet1!$H$3:$I$3</c:f>
              <c:strCache>
                <c:ptCount val="2"/>
                <c:pt idx="0">
                  <c:v>LRU</c:v>
                </c:pt>
                <c:pt idx="1">
                  <c:v>REFCOUNT</c:v>
                </c:pt>
              </c:strCache>
            </c:strRef>
          </c:cat>
          <c:val>
            <c:numRef>
              <c:f>Sheet1!$H$4:$I$4</c:f>
              <c:numCache>
                <c:formatCode>General</c:formatCode>
                <c:ptCount val="2"/>
                <c:pt idx="0">
                  <c:v>56.981299999999997</c:v>
                </c:pt>
                <c:pt idx="1">
                  <c:v>60.060699999999997</c:v>
                </c:pt>
              </c:numCache>
            </c:numRef>
          </c:val>
          <c:extLst>
            <c:ext xmlns:c16="http://schemas.microsoft.com/office/drawing/2014/chart" uri="{C3380CC4-5D6E-409C-BE32-E72D297353CC}">
              <c16:uniqueId val="{00000000-8242-4818-951E-8C53993938C8}"/>
            </c:ext>
          </c:extLst>
        </c:ser>
        <c:ser>
          <c:idx val="1"/>
          <c:order val="1"/>
          <c:tx>
            <c:strRef>
              <c:f>Sheet1!$G$5</c:f>
              <c:strCache>
                <c:ptCount val="1"/>
                <c:pt idx="0">
                  <c:v>4MB</c:v>
                </c:pt>
              </c:strCache>
            </c:strRef>
          </c:tx>
          <c:spPr>
            <a:solidFill>
              <a:schemeClr val="accent2"/>
            </a:solidFill>
            <a:ln>
              <a:noFill/>
            </a:ln>
            <a:effectLst/>
          </c:spPr>
          <c:invertIfNegative val="0"/>
          <c:cat>
            <c:strRef>
              <c:f>Sheet1!$H$3:$I$3</c:f>
              <c:strCache>
                <c:ptCount val="2"/>
                <c:pt idx="0">
                  <c:v>LRU</c:v>
                </c:pt>
                <c:pt idx="1">
                  <c:v>REFCOUNT</c:v>
                </c:pt>
              </c:strCache>
            </c:strRef>
          </c:cat>
          <c:val>
            <c:numRef>
              <c:f>Sheet1!$H$5:$I$5</c:f>
              <c:numCache>
                <c:formatCode>General</c:formatCode>
                <c:ptCount val="2"/>
                <c:pt idx="0">
                  <c:v>48.042900000000003</c:v>
                </c:pt>
                <c:pt idx="1">
                  <c:v>51.959299999999999</c:v>
                </c:pt>
              </c:numCache>
            </c:numRef>
          </c:val>
          <c:extLst>
            <c:ext xmlns:c16="http://schemas.microsoft.com/office/drawing/2014/chart" uri="{C3380CC4-5D6E-409C-BE32-E72D297353CC}">
              <c16:uniqueId val="{00000001-8242-4818-951E-8C53993938C8}"/>
            </c:ext>
          </c:extLst>
        </c:ser>
        <c:dLbls>
          <c:showLegendKey val="0"/>
          <c:showVal val="0"/>
          <c:showCatName val="0"/>
          <c:showSerName val="0"/>
          <c:showPercent val="0"/>
          <c:showBubbleSize val="0"/>
        </c:dLbls>
        <c:gapWidth val="219"/>
        <c:overlap val="-27"/>
        <c:axId val="810098863"/>
        <c:axId val="697917823"/>
      </c:barChart>
      <c:catAx>
        <c:axId val="8100988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7917823"/>
        <c:crosses val="autoZero"/>
        <c:auto val="1"/>
        <c:lblAlgn val="ctr"/>
        <c:lblOffset val="100"/>
        <c:noMultiLvlLbl val="0"/>
      </c:catAx>
      <c:valAx>
        <c:axId val="697917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00988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Bodytrack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Sheet1!$A$13</c:f>
              <c:strCache>
                <c:ptCount val="1"/>
                <c:pt idx="0">
                  <c:v>1MB</c:v>
                </c:pt>
              </c:strCache>
            </c:strRef>
          </c:tx>
          <c:spPr>
            <a:solidFill>
              <a:schemeClr val="accent1"/>
            </a:solidFill>
            <a:ln>
              <a:noFill/>
            </a:ln>
            <a:effectLst/>
          </c:spPr>
          <c:invertIfNegative val="0"/>
          <c:cat>
            <c:strRef>
              <c:f>Sheet1!$B$12:$C$12</c:f>
              <c:strCache>
                <c:ptCount val="2"/>
                <c:pt idx="0">
                  <c:v>LRU</c:v>
                </c:pt>
                <c:pt idx="1">
                  <c:v>REFCOUNT</c:v>
                </c:pt>
              </c:strCache>
            </c:strRef>
          </c:cat>
          <c:val>
            <c:numRef>
              <c:f>Sheet1!$B$13:$C$13</c:f>
              <c:numCache>
                <c:formatCode>General</c:formatCode>
                <c:ptCount val="2"/>
                <c:pt idx="0">
                  <c:v>13.389099999999999</c:v>
                </c:pt>
                <c:pt idx="1">
                  <c:v>16.391300000000001</c:v>
                </c:pt>
              </c:numCache>
            </c:numRef>
          </c:val>
          <c:extLst>
            <c:ext xmlns:c16="http://schemas.microsoft.com/office/drawing/2014/chart" uri="{C3380CC4-5D6E-409C-BE32-E72D297353CC}">
              <c16:uniqueId val="{00000000-4250-46DA-8E77-D91A59F82DB8}"/>
            </c:ext>
          </c:extLst>
        </c:ser>
        <c:ser>
          <c:idx val="1"/>
          <c:order val="1"/>
          <c:tx>
            <c:strRef>
              <c:f>Sheet1!$A$14</c:f>
              <c:strCache>
                <c:ptCount val="1"/>
                <c:pt idx="0">
                  <c:v>4MB</c:v>
                </c:pt>
              </c:strCache>
            </c:strRef>
          </c:tx>
          <c:spPr>
            <a:solidFill>
              <a:schemeClr val="accent2"/>
            </a:solidFill>
            <a:ln>
              <a:noFill/>
            </a:ln>
            <a:effectLst/>
          </c:spPr>
          <c:invertIfNegative val="0"/>
          <c:cat>
            <c:strRef>
              <c:f>Sheet1!$B$12:$C$12</c:f>
              <c:strCache>
                <c:ptCount val="2"/>
                <c:pt idx="0">
                  <c:v>LRU</c:v>
                </c:pt>
                <c:pt idx="1">
                  <c:v>REFCOUNT</c:v>
                </c:pt>
              </c:strCache>
            </c:strRef>
          </c:cat>
          <c:val>
            <c:numRef>
              <c:f>Sheet1!$B$14:$C$14</c:f>
              <c:numCache>
                <c:formatCode>General</c:formatCode>
                <c:ptCount val="2"/>
                <c:pt idx="0">
                  <c:v>9.98</c:v>
                </c:pt>
                <c:pt idx="1">
                  <c:v>11.136900000000001</c:v>
                </c:pt>
              </c:numCache>
            </c:numRef>
          </c:val>
          <c:extLst>
            <c:ext xmlns:c16="http://schemas.microsoft.com/office/drawing/2014/chart" uri="{C3380CC4-5D6E-409C-BE32-E72D297353CC}">
              <c16:uniqueId val="{00000001-4250-46DA-8E77-D91A59F82DB8}"/>
            </c:ext>
          </c:extLst>
        </c:ser>
        <c:dLbls>
          <c:showLegendKey val="0"/>
          <c:showVal val="0"/>
          <c:showCatName val="0"/>
          <c:showSerName val="0"/>
          <c:showPercent val="0"/>
          <c:showBubbleSize val="0"/>
        </c:dLbls>
        <c:gapWidth val="219"/>
        <c:overlap val="-27"/>
        <c:axId val="939550335"/>
        <c:axId val="817314703"/>
      </c:barChart>
      <c:catAx>
        <c:axId val="939550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7314703"/>
        <c:crosses val="autoZero"/>
        <c:auto val="1"/>
        <c:lblAlgn val="ctr"/>
        <c:lblOffset val="100"/>
        <c:noMultiLvlLbl val="0"/>
      </c:catAx>
      <c:valAx>
        <c:axId val="817314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5503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N0YYqUqdSpe67b589NADGF+egw==">AMUW2mWs821B8ruiLELR5gQeQ/1SI9IMM+w08PpOPWvvSLJda6NM55uDTTEQEOwfansGUAZ+Q7eq+pesmIOKbkb8lkcKTYDVBRZAWIEG0XOqQAr5ximQ+LW4y8TpLiOvxlEhgBzVSEna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Vasundhara</dc:creator>
  <cp:lastModifiedBy>gayathrialloju@outlook.com</cp:lastModifiedBy>
  <cp:revision>7</cp:revision>
  <dcterms:created xsi:type="dcterms:W3CDTF">2020-03-25T06:55:00Z</dcterms:created>
  <dcterms:modified xsi:type="dcterms:W3CDTF">2020-03-25T07:41:00Z</dcterms:modified>
</cp:coreProperties>
</file>