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drawing>
          <wp:inline distT="0" distB="0" distL="0" distR="0">
            <wp:extent cx="3429000" cy="790575"/>
            <wp:effectExtent t="0" r="0" b="0" l="0"/>
            <wp:docPr id="1" name="logo" descr="Logo de la Universidad Tecnológica Metropolitana" title="Logo U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790575"/>
                    </a:xfrm>
                    <a:prstGeom prst="rect">
                      <a:avLst/>
                    </a:prstGeom>
                  </pic:spPr>
                </pic:pic>
              </a:graphicData>
            </a:graphic>
          </wp:inline>
        </w:drawing>
      </w:r>
    </w:p>
    <w:p>
      <w:pPr>
        <w:spacing w:after="40"/>
        <w:jc w:val="center"/>
      </w:pPr>
      <w:r>
        <w:rPr>
          <w:sz w:val="24"/>
          <w:szCs w:val="24"/>
        </w:rPr>
        <w:t xml:space="preserve">Facultad de Ingeniería</w:t>
      </w:r>
    </w:p>
    <w:p>
      <w:pPr>
        <w:spacing w:after="900"/>
        <w:jc w:val="center"/>
      </w:pPr>
      <w:r>
        <w:rPr>
          <w:sz w:val="24"/>
          <w:szCs w:val="24"/>
        </w:rPr>
        <w:t xml:space="preserve">Escuela de Informática y Computación</w:t>
      </w:r>
    </w:p>
    <w:p>
      <w:pPr>
        <w:spacing w:after="80"/>
        <w:jc w:val="center"/>
      </w:pPr>
      <w:r>
        <w:rPr>
          <w:b/>
          <w:bCs/>
          <w:color w:val="1E2761"/>
          <w:sz w:val="44"/>
          <w:szCs w:val="44"/>
        </w:rPr>
        <w:t xml:space="preserve">INFORME DE DESARROLLO</w:t>
      </w:r>
    </w:p>
    <w:p>
      <w:pPr>
        <w:spacing w:after="500"/>
        <w:jc w:val="center"/>
      </w:pPr>
      <w:r>
        <w:rPr>
          <w:b/>
          <w:bCs/>
          <w:color w:val="5A6B9C"/>
          <w:sz w:val="32"/>
          <w:szCs w:val="32"/>
        </w:rPr>
        <w:t xml:space="preserve">TRABAJO DE TÍTULO II</w:t>
      </w:r>
    </w:p>
    <w:p>
      <w:pPr>
        <w:spacing w:after="700" w:line="300"/>
        <w:ind w:left="400" w:right="400"/>
        <w:jc w:val="center"/>
      </w:pPr>
      <w:r>
        <w:rPr>
          <w:i/>
          <w:iCs/>
          <w:sz w:val="26"/>
          <w:szCs w:val="26"/>
        </w:rPr>
        <w:t xml:space="preserve">Diseño y Desarrollo de un Sistema de Coordinación de Agentes basado en Aprendizaje por Refuerzo para la Mitigación del Slippage en la Ejecución de Activos del Mercado Accionario Chileno (IPSA)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c>
          <w:tcPr>
            <w:tcW w:type="dxa" w:w="43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pPr>
            <w:r>
              <w:rPr>
                <w:b/>
                <w:bCs/>
                <w:color w:val="1E2761"/>
                <w:sz w:val="21"/>
                <w:szCs w:val="21"/>
              </w:rPr>
              <w:t xml:space="preserve">PROFESOR GUÍA</w:t>
            </w:r>
          </w:p>
          <w:p>
            <w:pPr>
              <w:spacing w:after="40"/>
            </w:pPr>
            <w:r>
              <w:rPr>
                <w:sz w:val="21"/>
                <w:szCs w:val="21"/>
              </w:rPr>
              <w:t xml:space="preserve">Juan Pablo Argerstein</w:t>
            </w:r>
          </w:p>
          <w:p>
            <w:pPr>
              <w:spacing w:after="40"/>
            </w:pPr>
            <w:r>
              <w:rPr>
                <w:i/>
                <w:iCs/>
                <w:color w:val="5A6B9C"/>
                <w:sz w:val="21"/>
                <w:szCs w:val="21"/>
              </w:rPr>
              <w:t xml:space="preserve">Master Computer Science / Senior Cloud Data Engineer</w:t>
            </w:r>
          </w:p>
          <w:p>
            <w:pPr>
              <w:spacing w:after="40"/>
            </w:pPr>
            <w:r>
              <w:rPr>
                <w:color w:val="5A6B9C"/>
                <w:sz w:val="21"/>
                <w:szCs w:val="21"/>
              </w:rPr>
              <w:t xml:space="preserve">jangerstein@utem.cl</w:t>
            </w:r>
          </w:p>
        </w:tc>
        <w:tc>
          <w:tcPr>
            <w:tcW w:type="dxa" w:w="472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pPr>
            <w:r>
              <w:rPr>
                <w:b/>
                <w:bCs/>
                <w:color w:val="1E2761"/>
                <w:sz w:val="21"/>
                <w:szCs w:val="21"/>
              </w:rPr>
              <w:t xml:space="preserve">ESTUDIANTES</w:t>
            </w:r>
          </w:p>
          <w:p>
            <w:pPr>
              <w:spacing w:after="40"/>
            </w:pPr>
            <w:r>
              <w:rPr>
                <w:sz w:val="21"/>
                <w:szCs w:val="21"/>
              </w:rPr>
              <w:t xml:space="preserve">Paolo Sepúlveda Parraguez</w:t>
            </w:r>
          </w:p>
          <w:p>
            <w:pPr>
              <w:spacing w:after="40"/>
            </w:pPr>
            <w:r>
              <w:rPr>
                <w:sz w:val="21"/>
                <w:szCs w:val="21"/>
              </w:rPr>
              <w:t xml:space="preserve">Mauricio Reynoso Ruiz</w:t>
            </w:r>
          </w:p>
          <w:p>
            <w:pPr>
              <w:spacing w:after="40"/>
            </w:pPr>
            <w:r>
              <w:rPr>
                <w:sz w:val="21"/>
                <w:szCs w:val="21"/>
              </w:rPr>
              <w:t xml:space="preserve">Benjamín Farias</w:t>
            </w:r>
          </w:p>
          <w:p>
            <w:pPr>
              <w:spacing w:after="40"/>
            </w:pPr>
            <w:r>
              <w:rPr>
                <w:color w:val="5A6B9C"/>
                <w:sz w:val="18"/>
                <w:szCs w:val="18"/>
              </w:rPr>
              <w:t xml:space="preserve">psepulvedap@utem.cl · mreynoso@utem.cl · bfarias@utem.cl</w:t>
            </w:r>
          </w:p>
        </w:tc>
      </w:tr>
    </w:tbl>
    <w:p>
      <w:pPr>
        <w:spacing w:after="40" w:before="700"/>
        <w:jc w:val="center"/>
      </w:pPr>
      <w:r>
        <w:rPr>
          <w:b/>
          <w:bCs/>
          <w:color w:val="1E2761"/>
          <w:sz w:val="24"/>
          <w:szCs w:val="24"/>
        </w:rPr>
        <w:t xml:space="preserve">Avance al 22 de octubre de 2026 (cierre del sprint 4)</w:t>
      </w:r>
    </w:p>
    <w:p>
      <w:pPr>
        <w:spacing w:after="0"/>
        <w:jc w:val="center"/>
      </w:pPr>
      <w:r>
        <w:rPr>
          <w:i/>
          <w:iCs/>
          <w:color w:val="5A6B9C"/>
          <w:sz w:val="20"/>
          <w:szCs w:val="20"/>
        </w:rPr>
        <w:t xml:space="preserve">Documento vivo: se actualiza al cierre de cada sprint. Esta versión cubre los sprints 1 a 4.</w:t>
      </w:r>
    </w:p>
    <w:p>
      <w:pPr>
        <w:sectPr>
          <w:pgSz w:w="11906" w:h="16838" w:orient="portrait"/>
          <w:pgMar w:top="1440" w:right="1440" w:bottom="1440" w:left="1440" w:header="708" w:footer="708" w:gutter="0"/>
          <w:pgNumType/>
          <w:docGrid w:linePitch="360"/>
        </w:sectPr>
      </w:pPr>
    </w:p>
    <w:p>
      <w:pPr>
        <w:spacing w:after="200"/>
      </w:pPr>
      <w:r>
        <w:rPr>
          <w:b/>
          <w:bCs/>
          <w:color w:val="1E2761"/>
          <w:sz w:val="32"/>
          <w:szCs w:val="32"/>
        </w:rPr>
        <w:t xml:space="preserve">Índice de contenidos</w:t>
      </w:r>
    </w:p>
    <w:sdt>
      <w:sdtPr>
        <w:alias w:val="Índice de contenidos"/>
      </w:sdtPr>
      <w:sdtContent>
        <w:p>
          <w:r>
            <w:fldChar w:fldCharType="begin" w:dirty="true"/>
            <w:instrText xml:space="preserve">TOC \h \o "1-3"</w:instrText>
            <w:fldChar w:fldCharType="separate"/>
          </w:r>
        </w:p>
        <w:p>
          <w:r>
            <w:fldChar w:fldCharType="end"/>
          </w:r>
        </w:p>
      </w:sdtContent>
    </w:sdt>
    <w:p>
      <w:pPr>
        <w:spacing w:before="200"/>
      </w:pPr>
      <w:r>
        <w:rPr>
          <w:i/>
          <w:iCs/>
          <w:color w:val="5A6B9C"/>
          <w:sz w:val="18"/>
          <w:szCs w:val="18"/>
        </w:rPr>
        <w:t xml:space="preserve">Si el índice aparece vacío o desactualizado, haga clic derecho sobre él y elija «Actualizar campo», o presione F9.</w:t>
      </w:r>
    </w:p>
    <w:p>
      <w:r>
        <w:br w:type="page"/>
      </w:r>
    </w:p>
    <w:p>
      <w:pPr>
        <w:spacing w:after="120" w:before="3200"/>
        <w:jc w:val="center"/>
      </w:pPr>
      <w:r>
        <w:rPr>
          <w:b/>
          <w:bCs/>
          <w:color w:val="5A6B9C"/>
          <w:sz w:val="28"/>
          <w:szCs w:val="28"/>
        </w:rPr>
        <w:t xml:space="preserve">PARTE I</w:t>
      </w:r>
    </w:p>
    <w:p>
      <w:pPr>
        <w:pStyle w:val="Heading1"/>
        <w:spacing w:after="300" w:before="0"/>
        <w:jc w:val="center"/>
      </w:pPr>
      <w:r>
        <w:rPr>
          <w:b/>
          <w:bCs/>
          <w:color w:val="1E2761"/>
          <w:sz w:val="52"/>
          <w:szCs w:val="52"/>
        </w:rPr>
        <w:t xml:space="preserve">Anteproyecto de título</w:t>
      </w:r>
    </w:p>
    <w:p>
      <w:pPr>
        <w:spacing w:after="0" w:line="300"/>
        <w:ind w:left="900" w:right="900"/>
        <w:jc w:val="center"/>
      </w:pPr>
      <w:r>
        <w:rPr>
          <w:i/>
          <w:iCs/>
          <w:color w:val="5A6B9C"/>
          <w:sz w:val="24"/>
          <w:szCs w:val="24"/>
        </w:rPr>
        <w:t xml:space="preserve">Reproduce, sin modificaciones de contenido, el anteproyecto presentado en el Título I: problema, arquitectura propuesta, datos, objetivos, metodología y plan de trabajo.</w:t>
      </w:r>
    </w:p>
    <w:p>
      <w:r>
        <w:br w:type="page"/>
      </w:r>
    </w:p>
    <w:p>
      <w:pPr>
        <w:pStyle w:val="Heading1"/>
      </w:pPr>
      <w:r>
        <w:t xml:space="preserve">1. NOMBRE DEL TEMA</w:t>
      </w:r>
    </w:p>
    <w:p>
      <w:pPr>
        <w:spacing w:after="120" w:line="276"/>
        <w:jc w:val="both"/>
      </w:pPr>
      <w:r>
        <w:t xml:space="preserve">"Diseño y Desarrollo de un Sistema de Coordinación de Agentes basado en Aprendizaje por Refuerzo para la Mitigación del Slippage en la Ejecución de Activos del Mercado Accionario Chileno (IPSA)".</w:t>
      </w:r>
    </w:p>
    <w:p>
      <w:pPr>
        <w:pStyle w:val="Heading1"/>
      </w:pPr>
      <w:r>
        <w:t xml:space="preserve">2. RESUMEN</w:t>
      </w:r>
    </w:p>
    <w:p>
      <w:pPr>
        <w:spacing w:after="120" w:line="276"/>
        <w:jc w:val="both"/>
      </w:pPr>
      <w:r>
        <w:t xml:space="preserve">El presente proyecto propone el desarrollo de una solución tecnológica orientada a la optimización de la ejecución de órdenes de gran volumen en el mercado bursátil chileno. La problemática central reside en el </w:t>
      </w:r>
      <w:r>
        <w:rPr>
          <w:i/>
          <w:iCs/>
        </w:rPr>
        <w:t xml:space="preserve">Slippage</w:t>
      </w:r>
      <w:r>
        <w:t xml:space="preserve"> (deslizamiento de precio), fenómeno que ocurre cuando órdenes masivas agotan la liquidez disponible en el libro de órdenes, moviendo el precio en contra del inversor y generando costos de transacción ineficientes. Para mitigar este efecto, se diseñará un sistema multi-agente donde un "Agente Maestro" planifica la estrategia de fragmentación y diversos "Agentes de Ejecución" operan en ventanas temporales estratégicas. La inteligencia del sistema se sustenta en el algoritmo </w:t>
      </w:r>
      <w:r>
        <w:rPr>
          <w:i/>
          <w:iCs/>
        </w:rPr>
        <w:t xml:space="preserve">Proximal Policy Optimization</w:t>
      </w:r>
      <w:r>
        <w:t xml:space="preserve"> (PPO) implementado mediante la librería PyTorch. El proyecto contempla el procesamiento de datos históricos del mercado para entrenar una red neuronal capaz de proporcionar una estrategia de ejecución superior a los métodos tradicionales.</w:t>
      </w:r>
    </w:p>
    <w:p>
      <w:pPr>
        <w:pStyle w:val="Heading1"/>
      </w:pPr>
      <w:r>
        <w:t xml:space="preserve">3. PALABRAS CLAVE</w:t>
      </w:r>
    </w:p>
    <w:p>
      <w:pPr>
        <w:pStyle w:val="ListParagraph"/>
        <w:numPr>
          <w:ilvl w:val="0"/>
          <w:numId w:val="2"/>
        </w:numPr>
        <w:spacing w:after="60" w:line="276"/>
        <w:jc w:val="both"/>
      </w:pPr>
      <w:r>
        <w:t xml:space="preserve">Aprendizaje por refuerzo.</w:t>
      </w:r>
    </w:p>
    <w:p>
      <w:pPr>
        <w:pStyle w:val="ListParagraph"/>
        <w:numPr>
          <w:ilvl w:val="0"/>
          <w:numId w:val="2"/>
        </w:numPr>
        <w:spacing w:after="60" w:line="276"/>
        <w:jc w:val="both"/>
      </w:pPr>
      <w:r>
        <w:t xml:space="preserve">Slippage.</w:t>
      </w:r>
    </w:p>
    <w:p>
      <w:pPr>
        <w:pStyle w:val="ListParagraph"/>
        <w:numPr>
          <w:ilvl w:val="0"/>
          <w:numId w:val="2"/>
        </w:numPr>
        <w:spacing w:after="60" w:line="276"/>
        <w:jc w:val="both"/>
      </w:pPr>
      <w:r>
        <w:t xml:space="preserve">IPSA.</w:t>
      </w:r>
    </w:p>
    <w:p>
      <w:pPr>
        <w:pStyle w:val="ListParagraph"/>
        <w:numPr>
          <w:ilvl w:val="0"/>
          <w:numId w:val="2"/>
        </w:numPr>
        <w:spacing w:after="60" w:line="276"/>
        <w:jc w:val="both"/>
      </w:pPr>
      <w:r>
        <w:t xml:space="preserve">Sistemas multiagente.</w:t>
      </w:r>
    </w:p>
    <w:p>
      <w:pPr>
        <w:pStyle w:val="ListParagraph"/>
        <w:numPr>
          <w:ilvl w:val="0"/>
          <w:numId w:val="2"/>
        </w:numPr>
        <w:spacing w:after="60" w:line="276"/>
        <w:jc w:val="both"/>
      </w:pPr>
      <w:r>
        <w:t xml:space="preserve">PPO.</w:t>
      </w:r>
    </w:p>
    <w:p>
      <w:pPr>
        <w:pStyle w:val="ListParagraph"/>
        <w:numPr>
          <w:ilvl w:val="0"/>
          <w:numId w:val="2"/>
        </w:numPr>
        <w:spacing w:after="60" w:line="276"/>
        <w:jc w:val="both"/>
      </w:pPr>
      <w:r>
        <w:t xml:space="preserve">Microestructura de mercado.</w:t>
      </w:r>
    </w:p>
    <w:p>
      <w:pPr>
        <w:pStyle w:val="ListParagraph"/>
        <w:numPr>
          <w:ilvl w:val="0"/>
          <w:numId w:val="2"/>
        </w:numPr>
        <w:spacing w:after="60" w:line="276"/>
        <w:jc w:val="both"/>
      </w:pPr>
      <w:r>
        <w:t xml:space="preserve">Libro de órdenes.</w:t>
      </w:r>
    </w:p>
    <w:p>
      <w:pPr>
        <w:pStyle w:val="ListParagraph"/>
        <w:numPr>
          <w:ilvl w:val="0"/>
          <w:numId w:val="2"/>
        </w:numPr>
        <w:spacing w:after="60" w:line="276"/>
        <w:jc w:val="both"/>
      </w:pPr>
      <w:r>
        <w:t xml:space="preserve">Implementation shortfall.</w:t>
      </w:r>
    </w:p>
    <w:p>
      <w:pPr>
        <w:pStyle w:val="ListParagraph"/>
        <w:numPr>
          <w:ilvl w:val="0"/>
          <w:numId w:val="2"/>
        </w:numPr>
        <w:spacing w:after="60" w:line="276"/>
        <w:jc w:val="both"/>
      </w:pPr>
      <w:r>
        <w:t xml:space="preserve">Bolsa de Santiago.</w:t>
      </w:r>
    </w:p>
    <w:p>
      <w:pPr>
        <w:pStyle w:val="ListParagraph"/>
        <w:numPr>
          <w:ilvl w:val="0"/>
          <w:numId w:val="2"/>
        </w:numPr>
        <w:spacing w:after="60" w:line="276"/>
        <w:jc w:val="both"/>
      </w:pPr>
      <w:r>
        <w:t xml:space="preserve">Optimización de ejecución.</w:t>
      </w:r>
    </w:p>
    <w:p>
      <w:pPr>
        <w:pStyle w:val="ListParagraph"/>
        <w:numPr>
          <w:ilvl w:val="0"/>
          <w:numId w:val="2"/>
        </w:numPr>
        <w:spacing w:after="60" w:line="276"/>
        <w:jc w:val="both"/>
      </w:pPr>
      <w:r>
        <w:t xml:space="preserve">Ejecución algorítmica.</w:t>
      </w:r>
    </w:p>
    <w:p>
      <w:pPr>
        <w:pStyle w:val="ListParagraph"/>
        <w:numPr>
          <w:ilvl w:val="0"/>
          <w:numId w:val="2"/>
        </w:numPr>
        <w:spacing w:after="60" w:line="276"/>
        <w:jc w:val="both"/>
      </w:pPr>
      <w:r>
        <w:t xml:space="preserve">Marco regulatorio financiero</w:t>
      </w:r>
    </w:p>
    <w:p>
      <w:pPr>
        <w:pStyle w:val="Heading1"/>
      </w:pPr>
      <w:r>
        <w:t xml:space="preserve">4. DESCRIPCIÓN DEL PROYECTO DE TÍTULO</w:t>
      </w:r>
    </w:p>
    <w:p>
      <w:pPr>
        <w:pStyle w:val="Heading2"/>
      </w:pPr>
      <w:r>
        <w:t xml:space="preserve">4.1 Parte Mercado: entorno y problemática</w:t>
      </w:r>
    </w:p>
    <w:p>
      <w:pPr>
        <w:pStyle w:val="Heading3"/>
      </w:pPr>
      <w:r>
        <w:t xml:space="preserve">4.1.1 El Mercado Accionario Chileno y el Índice IPSA</w:t>
      </w:r>
    </w:p>
    <w:p>
      <w:pPr>
        <w:spacing w:after="120" w:line="276"/>
        <w:jc w:val="both"/>
      </w:pPr>
      <w:r>
        <w:t xml:space="preserve">El mercado bursátil chileno opera a través de la bolsa de santiago y está representado en su mayor medida de su segmento y mayor relevancia, el índice S &amp; P IPSA (índice de precio selectivo de acciones). Este agrupa las 30 acciones de mayor capitalización bursátil y de mayor liquidez del país, lo cual lo convierte en un referente principal para medir el desempeño del mercado de renta variable nacional. La composición del indicador es revisada y balanceada trimestralmente (marzo, junio, septiembre y diciembre), conforme a los criterios de presencia bursátil, cantidad de volumen promedio ponderado diario transado y capitalización ajustada al mercado local, con un límite máximo del 15% de ponderación por componente individual y del 25% por grupo económico.</w:t>
      </w:r>
    </w:p>
    <w:p>
      <w:pPr>
        <w:spacing w:after="120" w:line="276"/>
        <w:jc w:val="both"/>
      </w:pPr>
      <w:r>
        <w:t xml:space="preserve">El mercado chileno presenta una liquidez estructuralmente más baja comparada a bolsas globales como NYSE (bolsa de nueva york) o NASDAQ (National Association of securities dealers automated quotations). La evidencia histórica muestra que entre los años 2010 y el 2015, los montos que se transaron en la bolsa de santiago sufrieron una caída superior al 56%, lo que muestra la fragilidad y sensibilidad de nuestro mercado nacional ante factores macroeconómicos y geopolíticos. Esta condición de liquidez estructuralmente reducida tiene consecuencias que son directas sobre el problema que este proyecto quiere solucionar: a menor profundidad del libro de órdenes, mayor es el impacto de precio que va a generar una orden de gran volumen, lo cual genera el fenómeno del slippage. Por este motivo convierte al IPSA en un entorno desafiante para la ejecución de órdenes de gran volumen.</w:t>
      </w:r>
    </w:p>
    <w:p>
      <w:pPr>
        <w:spacing w:after="120" w:line="276"/>
        <w:jc w:val="both"/>
      </w:pPr>
      <w:r>
        <w:t xml:space="preserve">Otro fenómeno identificado y reciente es el cambio en la composición de los inversores que participan activamente en el mercado chileno. Según un informe del instituto de finanzas internacionales (IIF, 2026), desde el año 2023 los hogares (principalmente fondos mutuos) han sustituido a los inversores extranjeros y las AFP como los compradores marginales de acciones en la bolsa de valores de santiago. Este cambio implica que nuestro mercado actualmente es mucho más sensible a la liquidez doméstica y a factores de confianza local,  lo que puede hacer crecer la volatilidad del día en momentos de estrés.</w:t>
      </w:r>
    </w:p>
    <w:p>
      <w:pPr>
        <w:spacing w:after="120" w:line="276"/>
        <w:jc w:val="both"/>
      </w:pPr>
      <w:r>
        <w:t xml:space="preserve">Además, el IPSA tiene patrones intradiarios de liquidez bien definidos. La sesión de negociación continua (Telepregón) con horario de entre las 9:30 y las 16:00 hrs en horario de invierno (17:00 en verano), que viene después de una subasta de apertura entre las 9:00 y las 9:25 hrs. La mayor actividad y profundidad de libro se concentra entre las 9:30 - 11:30 hrs y las 14:00 - 16:00 hrs, mientras en el horario intermedio concentra spreads más amplios y menor presencia de creadores de mercado. Sabiendo esto podemos explotar y conocer patrones para diseñar la estrategia algorítmica para una ejecución eficiente que este proyecto propone.</w:t>
      </w:r>
    </w:p>
    <w:p>
      <w:pPr>
        <w:pStyle w:val="Heading3"/>
      </w:pPr>
      <w:r>
        <w:t xml:space="preserve">4.1.2 El Libro de Órdenes (Limit Order Book – LOB)</w:t>
      </w:r>
    </w:p>
    <w:p>
      <w:pPr>
        <w:spacing w:after="120" w:line="276"/>
        <w:jc w:val="both"/>
      </w:pPr>
      <w:r>
        <w:t xml:space="preserve">El mecanismo central de cualquier mercado bursátil electrónico moderno es el Libro de Órdenes de Precio Límite (Limit Order Book, LOB). El LOB es una estructura de datos dinámica que registra, en tiempo real, todas las intenciones de compra (ofertas o "bids") y venta (demandas o "asks") a distintos niveles de precio que no han sido ejecutadas o canceladas.</w:t>
      </w:r>
    </w:p>
    <w:p>
      <w:pPr>
        <w:spacing w:after="120" w:line="276"/>
        <w:jc w:val="both"/>
      </w:pPr>
      <w:r>
        <w:t xml:space="preserve">Los participantes interactúan con el LOB mediante dos tipos de órdenes principales. Las órdenes de mercado (market orders) las cuales instruyen la compra o venta inmediata al mejor precio que esté disponible en ese momento (consumen la liquidez del libro y se se ejecuta debido a eso instantáneamente, siendo el mecanismo primario de ejecución generando impacto de mercado directo) y la otra orden es la de órdenes límite (limit orders), estas lo que hacen es especificar un precio máximo de compra o mínimo de venta, lo que tiene esta última es que si ya no hay contrapartida que esté disponible, quedarán en el libro a la espera de ejecución o de cancelación, lo que aportan es la liquidez del mercado. La diferencia entre el ask y el bid se le conoce como spread bid-ask, el cual es el indicador de costo directo de la liquidez inmediata en el mercado. </w:t>
      </w:r>
    </w:p>
    <w:p>
      <w:pPr>
        <w:spacing w:after="120" w:line="276"/>
        <w:jc w:val="both"/>
      </w:pPr>
      <w:r>
        <w:t xml:space="preserve">Usando de referencia teórica a Glosten y Milgrom (1985), en nuestra investigación nos topamos con la definición de que el bid-ask se genera como una consecuencia de la selección adversa, quiere decir, los creadores de mercado utilizan el spread (ampliándolo) para así compensar el riesgo de transar contra agentes que tienen información superior.</w:t>
      </w:r>
    </w:p>
    <w:p>
      <w:pPr>
        <w:spacing w:after="120" w:line="276"/>
        <w:jc w:val="both"/>
      </w:pPr>
      <w:r>
        <w:t xml:space="preserve">La organización en resumen es la siguiente:</w:t>
      </w:r>
    </w:p>
    <w:p>
      <w:pPr>
        <w:pStyle w:val="ListParagraph"/>
        <w:numPr>
          <w:ilvl w:val="0"/>
          <w:numId w:val="2"/>
        </w:numPr>
        <w:spacing w:after="60" w:line="276"/>
        <w:jc w:val="both"/>
      </w:pPr>
      <w:r>
        <w:t xml:space="preserve">El lado comprador (Bid) lista las órdenes de compra de mayor a menor precio. El mejor bid representa el precio máximo que alguien está dispuesto a pagar en ese instante.</w:t>
      </w:r>
    </w:p>
    <w:p>
      <w:pPr>
        <w:pStyle w:val="ListParagraph"/>
        <w:numPr>
          <w:ilvl w:val="0"/>
          <w:numId w:val="2"/>
        </w:numPr>
        <w:spacing w:after="60" w:line="276"/>
        <w:jc w:val="both"/>
      </w:pPr>
      <w:r>
        <w:t xml:space="preserve">El lado vendedor (Ask) lista las órdenes de venta de menor a mayor precio. El mejor ask representa el precio mínimo al que alguien está dispuesto a vender.</w:t>
      </w:r>
    </w:p>
    <w:p>
      <w:pPr>
        <w:pStyle w:val="ListParagraph"/>
        <w:numPr>
          <w:ilvl w:val="0"/>
          <w:numId w:val="2"/>
        </w:numPr>
        <w:spacing w:after="60" w:line="276"/>
        <w:jc w:val="both"/>
      </w:pPr>
      <w:r>
        <w:t xml:space="preserve">La diferencia entre el mejor ask y el mejor bid se denomina spread bid-ask, el cual es uno de los indicadores más directos del costo de liquidez en un mercado.</w:t>
      </w:r>
    </w:p>
    <w:p>
      <w:pPr>
        <w:spacing w:after="120" w:line="276"/>
        <w:jc w:val="both"/>
      </w:pPr>
      <w:r>
        <w:t xml:space="preserve">Cuando un participante envía una orden de mercado (market order), esta consume instantáneamente las órdenes de límite disponibles en el lado contrario del LOB, comenzando desde el mejor precio disponible. Si el volumen de la orden de mercado supera la cantidad ofertada en el mejor nivel de precio, la ejecución "avanza" hacia los niveles de precio siguientes, empeorando progresivamente el precio promedio de ejecución. Este fenómeno es la causa directa del Slippage.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18"/>
        <w:gridCol w:w="1389"/>
        <w:gridCol w:w="1620"/>
        <w:gridCol w:w="900"/>
        <w:gridCol w:w="2199"/>
      </w:tblGrid>
      <w:tr>
        <w:trPr>
          <w:cantSplit/>
          <w:tblHeader/>
        </w:trPr>
        <w:tc>
          <w:tcPr>
            <w:tcW w:type="dxa" w:w="2918"/>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Lado</w:t>
            </w:r>
          </w:p>
        </w:tc>
        <w:tc>
          <w:tcPr>
            <w:tcW w:type="dxa" w:w="1389"/>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Precio (CLP)</w:t>
            </w:r>
          </w:p>
        </w:tc>
        <w:tc>
          <w:tcPr>
            <w:tcW w:type="dxa" w:w="162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Volumen (acc.)</w:t>
            </w:r>
          </w:p>
        </w:tc>
        <w:tc>
          <w:tcPr>
            <w:tcW w:type="dxa" w:w="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Tipo</w:t>
            </w:r>
          </w:p>
        </w:tc>
        <w:tc>
          <w:tcPr>
            <w:tcW w:type="dxa" w:w="2199"/>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Descripción</w:t>
            </w:r>
          </w:p>
        </w:tc>
      </w:tr>
      <w:tr>
        <w:trPr>
          <w:cantSplit/>
          <w:tblHeader w:val="off"/>
        </w:trPr>
        <w:tc>
          <w:tcPr>
            <w:tcW w:type="dxa" w:w="291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Ask 3</w:t>
            </w:r>
          </w:p>
        </w:tc>
        <w:tc>
          <w:tcPr>
            <w:tcW w:type="dxa" w:w="138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5.820</w:t>
            </w:r>
          </w:p>
        </w:tc>
        <w:tc>
          <w:tcPr>
            <w:tcW w:type="dxa" w:w="162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3.000</w:t>
            </w:r>
          </w:p>
        </w:tc>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Venta</w:t>
            </w:r>
          </w:p>
        </w:tc>
        <w:tc>
          <w:tcPr>
            <w:tcW w:type="dxa" w:w="219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Precio límite</w:t>
            </w:r>
          </w:p>
        </w:tc>
      </w:tr>
      <w:tr>
        <w:trPr>
          <w:cantSplit/>
          <w:tblHeader w:val="off"/>
        </w:trPr>
        <w:tc>
          <w:tcPr>
            <w:tcW w:type="dxa" w:w="291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Ask 2</w:t>
            </w:r>
          </w:p>
        </w:tc>
        <w:tc>
          <w:tcPr>
            <w:tcW w:type="dxa" w:w="138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5.810</w:t>
            </w:r>
          </w:p>
        </w:tc>
        <w:tc>
          <w:tcPr>
            <w:tcW w:type="dxa" w:w="162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5.500</w:t>
            </w:r>
          </w:p>
        </w:tc>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Venta</w:t>
            </w:r>
          </w:p>
        </w:tc>
        <w:tc>
          <w:tcPr>
            <w:tcW w:type="dxa" w:w="219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Precio límite</w:t>
            </w:r>
          </w:p>
        </w:tc>
      </w:tr>
      <w:tr>
        <w:trPr>
          <w:cantSplit/>
          <w:tblHeader w:val="off"/>
        </w:trPr>
        <w:tc>
          <w:tcPr>
            <w:tcW w:type="dxa" w:w="291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Ask 1 (Mejor Ask)</w:t>
            </w:r>
          </w:p>
        </w:tc>
        <w:tc>
          <w:tcPr>
            <w:tcW w:type="dxa" w:w="138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5.800</w:t>
            </w:r>
          </w:p>
        </w:tc>
        <w:tc>
          <w:tcPr>
            <w:tcW w:type="dxa" w:w="162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2.000</w:t>
            </w:r>
          </w:p>
        </w:tc>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Venta</w:t>
            </w:r>
          </w:p>
        </w:tc>
        <w:tc>
          <w:tcPr>
            <w:tcW w:type="dxa" w:w="219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Mejor oferta venta</w:t>
            </w:r>
          </w:p>
        </w:tc>
      </w:tr>
      <w:tr>
        <w:trPr>
          <w:cantSplit/>
          <w:tblHeader w:val="off"/>
        </w:trPr>
        <w:tc>
          <w:tcPr>
            <w:tcW w:type="dxa" w:w="291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b/>
                <w:bCs/>
                <w:sz w:val="19"/>
                <w:szCs w:val="19"/>
              </w:rPr>
              <w:t xml:space="preserve">← SPREAD = CLP 10 (0,17%) →</w:t>
            </w:r>
          </w:p>
        </w:tc>
        <w:tc>
          <w:tcPr>
            <w:tcW w:type="dxa" w:w="138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tc>
        <w:tc>
          <w:tcPr>
            <w:tcW w:type="dxa" w:w="162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tc>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tc>
        <w:tc>
          <w:tcPr>
            <w:tcW w:type="dxa" w:w="219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tc>
      </w:tr>
      <w:tr>
        <w:trPr>
          <w:cantSplit/>
          <w:tblHeader w:val="off"/>
        </w:trPr>
        <w:tc>
          <w:tcPr>
            <w:tcW w:type="dxa" w:w="291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Bid 1 (Mejor Bid)</w:t>
            </w:r>
          </w:p>
        </w:tc>
        <w:tc>
          <w:tcPr>
            <w:tcW w:type="dxa" w:w="138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5.790</w:t>
            </w:r>
          </w:p>
        </w:tc>
        <w:tc>
          <w:tcPr>
            <w:tcW w:type="dxa" w:w="162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4.000</w:t>
            </w:r>
          </w:p>
        </w:tc>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Compra</w:t>
            </w:r>
          </w:p>
        </w:tc>
        <w:tc>
          <w:tcPr>
            <w:tcW w:type="dxa" w:w="219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Mejor oferta compra</w:t>
            </w:r>
          </w:p>
        </w:tc>
      </w:tr>
      <w:tr>
        <w:trPr>
          <w:cantSplit/>
          <w:tblHeader w:val="off"/>
        </w:trPr>
        <w:tc>
          <w:tcPr>
            <w:tcW w:type="dxa" w:w="291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Bid 2</w:t>
            </w:r>
          </w:p>
        </w:tc>
        <w:tc>
          <w:tcPr>
            <w:tcW w:type="dxa" w:w="138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5.780</w:t>
            </w:r>
          </w:p>
        </w:tc>
        <w:tc>
          <w:tcPr>
            <w:tcW w:type="dxa" w:w="162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6.000</w:t>
            </w:r>
          </w:p>
        </w:tc>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Compra</w:t>
            </w:r>
          </w:p>
        </w:tc>
        <w:tc>
          <w:tcPr>
            <w:tcW w:type="dxa" w:w="219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Precio límite</w:t>
            </w:r>
          </w:p>
        </w:tc>
      </w:tr>
      <w:tr>
        <w:trPr>
          <w:cantSplit/>
          <w:tblHeader w:val="off"/>
        </w:trPr>
        <w:tc>
          <w:tcPr>
            <w:tcW w:type="dxa" w:w="291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Bid 3</w:t>
            </w:r>
          </w:p>
        </w:tc>
        <w:tc>
          <w:tcPr>
            <w:tcW w:type="dxa" w:w="138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5.770</w:t>
            </w:r>
          </w:p>
        </w:tc>
        <w:tc>
          <w:tcPr>
            <w:tcW w:type="dxa" w:w="162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8.500</w:t>
            </w:r>
          </w:p>
        </w:tc>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Compra</w:t>
            </w:r>
          </w:p>
        </w:tc>
        <w:tc>
          <w:tcPr>
            <w:tcW w:type="dxa" w:w="219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Precio límite</w:t>
            </w:r>
          </w:p>
        </w:tc>
      </w:tr>
    </w:tbl>
    <w:p>
      <w:pPr>
        <w:spacing w:after="100"/>
      </w:pPr>
    </w:p>
    <w:p>
      <w:pPr>
        <w:pStyle w:val="Heading3"/>
      </w:pPr>
      <w:r>
        <w:t xml:space="preserve">4.1.3 El Fenómeno del Slippage y su Impacto en el IPSA</w:t>
      </w:r>
    </w:p>
    <w:p>
      <w:pPr>
        <w:spacing w:after="120" w:line="276"/>
        <w:jc w:val="both"/>
      </w:pPr>
      <w:r>
        <w:t xml:space="preserve">El Slippage (deslizamiento de precio) es el costo adicional que paga un inversor institucional cuando ejecuta una orden cuyo volumen supera la liquidez disponible en los mejores niveles del LOB. Tomando el ejemplo del Tabla 1, si un fondo de inversión decide comprar 8.000 acciones a través de una única orden de mercado, el resultado sería:</w:t>
      </w:r>
    </w:p>
    <w:p>
      <w:pPr>
        <w:pStyle w:val="ListParagraph"/>
        <w:numPr>
          <w:ilvl w:val="0"/>
          <w:numId w:val="2"/>
        </w:numPr>
        <w:spacing w:after="60" w:line="276"/>
        <w:jc w:val="both"/>
      </w:pPr>
      <w:r>
        <w:t xml:space="preserve">2.000 acciones a $5.800 (mejor ask)</w:t>
      </w:r>
    </w:p>
    <w:p>
      <w:pPr>
        <w:pStyle w:val="ListParagraph"/>
        <w:numPr>
          <w:ilvl w:val="0"/>
          <w:numId w:val="2"/>
        </w:numPr>
        <w:spacing w:after="60" w:line="276"/>
        <w:jc w:val="both"/>
      </w:pPr>
      <w:r>
        <w:t xml:space="preserve">5.500 acciones a $5.810 (segundo nivel)</w:t>
      </w:r>
    </w:p>
    <w:p>
      <w:pPr>
        <w:pStyle w:val="ListParagraph"/>
        <w:numPr>
          <w:ilvl w:val="0"/>
          <w:numId w:val="2"/>
        </w:numPr>
        <w:spacing w:after="60" w:line="276"/>
        <w:jc w:val="both"/>
      </w:pPr>
      <w:r>
        <w:t xml:space="preserve"> </w:t>
      </w:r>
      <w:r>
        <w:t xml:space="preserve">500 acciones a $5.820 (tercer nivel)</w:t>
      </w:r>
    </w:p>
    <w:p>
      <w:pPr>
        <w:spacing w:after="120" w:line="276"/>
        <w:jc w:val="both"/>
      </w:pPr>
      <w:r>
        <w:t xml:space="preserve">El precio promedio de ejecución resultante sería aproximadamente $5.808 CLP por acción, frente al precio inicial de $5.800. Esta diferencia de $8 por acción, multiplicada por los 8.000 títulos, genera un costo adicional de $64.000 CLP. En operaciones institucionales que involucran decenas de miles de acciones y múltiples activos, el costo acumulado por slippage puede representar millones de pesos, erosionando significativamente la rentabilidad de las estrategias de inversión.</w:t>
      </w:r>
    </w:p>
    <w:p>
      <w:pPr>
        <w:spacing w:after="120" w:line="276"/>
        <w:jc w:val="both"/>
      </w:pPr>
      <w:r>
        <w:t xml:space="preserve">Perold (1988) formalizó el concepto a través del implementation Shortfall (IS), el cual es la diferencia entre lo que queremos pagar y lo que realmente pagamos. El lo descompuso en 4 componentes:</w:t>
      </w:r>
    </w:p>
    <w:p>
      <w:pPr>
        <w:pStyle w:val="ListParagraph"/>
        <w:numPr>
          <w:ilvl w:val="0"/>
          <w:numId w:val="3"/>
        </w:numPr>
        <w:spacing w:after="60" w:line="276"/>
        <w:jc w:val="both"/>
      </w:pPr>
      <w:r>
        <w:t xml:space="preserve">El costo de demora (delay cost): consiste en la diferencia entre el precio de decisión y el precio al momento de realizar el envío de la orden.</w:t>
      </w:r>
    </w:p>
    <w:p>
      <w:pPr>
        <w:pStyle w:val="ListParagraph"/>
        <w:numPr>
          <w:ilvl w:val="0"/>
          <w:numId w:val="3"/>
        </w:numPr>
        <w:spacing w:after="60" w:line="276"/>
        <w:jc w:val="both"/>
      </w:pPr>
      <w:r>
        <w:t xml:space="preserve">Costos explícitos: las comisiones</w:t>
      </w:r>
    </w:p>
    <w:p>
      <w:pPr>
        <w:pStyle w:val="ListParagraph"/>
        <w:numPr>
          <w:ilvl w:val="0"/>
          <w:numId w:val="3"/>
        </w:numPr>
        <w:spacing w:after="60" w:line="276"/>
        <w:jc w:val="both"/>
      </w:pPr>
      <w:r>
        <w:t xml:space="preserve">impacto de mercado: es la diferencia que hay entre el precio de ejecución efectivo (al final) y el precio que se tenía al inicio de la ejecución.</w:t>
      </w:r>
    </w:p>
    <w:p>
      <w:pPr>
        <w:pStyle w:val="ListParagraph"/>
        <w:numPr>
          <w:ilvl w:val="0"/>
          <w:numId w:val="3"/>
        </w:numPr>
        <w:spacing w:after="60" w:line="276"/>
        <w:jc w:val="both"/>
      </w:pPr>
      <w:r>
        <w:t xml:space="preserve">costo de oportunidad: como el nombre sugiere, es el costo de oportunidad de las acciones que no fueron ejecutadas dentro del horizonte que se definió.</w:t>
      </w:r>
    </w:p>
    <w:p>
      <w:pPr>
        <w:spacing w:after="120" w:line="276"/>
        <w:jc w:val="both"/>
      </w:pPr>
      <w:r>
        <w:t xml:space="preserve">La propuesta del shortfall hace que sea la métrica que se utiliza de referencia estándar en la industria para evaluar la calidad de ejecución, debido a esto, es la función objetivo principal que el sistema propuesto busca minimizar.</w:t>
      </w:r>
    </w:p>
    <w:p>
      <w:pPr>
        <w:spacing w:after="120" w:line="276"/>
        <w:jc w:val="both"/>
      </w:pPr>
      <w:r>
        <w:t xml:space="preserve">Ahora, por otra parte, tenemos al slippage, el cual tiene dos componentes de impacto. El impacto temporal (transitorio), se disipa con el tiempo a medida de que el libro se repone y es, en un principio, reducible mediante el fraccionamiento y el esparcimiento temporal de las órdenes. El choque permanente persiste continuamente, reflejando la  integración de información al precio, esto provoca es que cuando una orden de gran volumen se ejecuta da un aviso al mercado de que hay un agente dispuesto a pagar precios más elevados, esto hace que los otros participantes ajusten sus expectativas al alza. según Almgren y Chriss (2001) formalizaron que el problema de minimización del costo total como una optimización del camino de ejecución, introduciendo una encrucijada: al ejecutar rápido reduce el riesgo de precio, sin embargo a su vez aumenta el impacto del mercado, por otro lado, al ejecutar lento hace que se reduzca el impacto, pero aumenta el riesgo del precio.</w:t>
      </w:r>
    </w:p>
    <w:p>
      <w:pPr>
        <w:spacing w:after="120" w:line="276"/>
        <w:jc w:val="both"/>
      </w:pPr>
      <w:r>
        <w:t xml:space="preserve">En el mercado IPSA, como ya se explicó anteriormente sabemos que el LOB que tenemos, comparado a los mercados globales, es estructuralmente menor, esto produce que la recuperación del libro tras un choque de volumen puede tardar minutos, en contraste a mercados más líquidos en los cuales tardarían milisegundos.  Con esto en cuenta, tenemos la necesidad crítica, para los inversores institucionales, de minimizar el impacto del mercado mediante la fragmentación inteligente de las órdenes </w:t>
      </w:r>
    </w:p>
    <w:p>
      <w:pPr>
        <w:pStyle w:val="Heading3"/>
      </w:pPr>
      <w:r>
        <w:t xml:space="preserve">4.1.4 Estrategias Tradicionales de Ejecución y sus Limitaciones</w:t>
      </w:r>
    </w:p>
    <w:p>
      <w:pPr>
        <w:spacing w:after="120" w:line="276"/>
        <w:jc w:val="both"/>
      </w:pPr>
      <w:r>
        <w:t xml:space="preserve">Antes de la aplicación de la inteligencia artificial, los algoritmos de ejecución más utilizados en la industria son el TWAP, el VWAP y las estrategias basadas en el uso del Shortfall, aunque son un avance respecto de hacerlo de forma manual, sin embargo, tienen una limitación estructural fundamental y que están basadas en reglas predefinidas o modelos estáticos, estas no pueden aprender de las condiciones en que su mercado opera:</w:t>
      </w:r>
    </w:p>
    <w:p>
      <w:pPr>
        <w:pStyle w:val="ListParagraph"/>
        <w:numPr>
          <w:ilvl w:val="0"/>
          <w:numId w:val="2"/>
        </w:numPr>
        <w:spacing w:after="60" w:line="276"/>
        <w:jc w:val="both"/>
      </w:pPr>
      <w:r>
        <w:t xml:space="preserve">TWAP (Time Weighted Average Price): Distribuye el volumen total de la orden en partes iguales a lo largo del tiempo, ejecutando Q/T acciones en cada periodo. Es simple y predecible, pero completamente "ciego" a las condiciones de liquidez, osea, ejecuta la misma cantidad en momentos de alta y baja profundidad del </w:t>
      </w:r>
      <w:r>
        <w:t xml:space="preserve">LOB</w:t>
      </w:r>
      <w:r>
        <w:t xml:space="preserve">, sin adaptarse a las dinámicas de esta misma, ignorando los patrones intradiarios que son especialmente marcados en el mercado chileno (anteriormente mencionados).</w:t>
      </w:r>
    </w:p>
    <w:p>
      <w:pPr>
        <w:pStyle w:val="ListParagraph"/>
        <w:numPr>
          <w:ilvl w:val="0"/>
          <w:numId w:val="2"/>
        </w:numPr>
        <w:spacing w:after="60" w:line="276"/>
        <w:jc w:val="both"/>
      </w:pPr>
      <w:r>
        <w:t xml:space="preserve">VWAP (Volume Weighted Average Price): Intenta replicar el perfil histórico de volumen del mercado, enviando órdenes mayores en los períodos de mayor actividad histórica a lo largo del día. Aunque es más sofisticado y presenta mejoras respecto a el TWAP, utiliza patrones pasados estáticos y no puede reaccionar a cambios de microestructura no observados previamente. Kato (2015) demostró que VWAP es óptima bajo ciertas condiciones del modelo de </w:t>
      </w:r>
      <w:r>
        <w:t xml:space="preserve">Almgren-Chriss (es un modelo matemático). Sin embargo, el perfil de volumen histórico es sólo una estimación del perfil futuro (que puede cambiar significativamente cuando haya alta volatilidad) y si tenemos muchos participantes que siguen VWAP de forma simultánea, el precio va a ser artificialmente inflado, ya que todos estarán comprando en las mismas horas ya definidas.</w:t>
      </w:r>
      <w:r>
        <w:t xml:space="preserve"> El modelo matemático Almgren-Chriss (2001), como contexto, resuelve la pregunta de: cuando nosotros queremos comprar, por ejemplo, 10.000 acciones en 1 hora, vamos a tener el problema de ¿cómo vamos a distribuir en el tiempo para pagar lo menos posible?, la respuesta es que hay un trade off que es inevitable, si ejecutamos rapido, habra un alto impacto de mercado, pero el riesgo de que el precio suba mientras espero es bajo, y la otra opción, si ejecutamos lento, el precio se mueve poco, sin embargo tenemos el problema de que el mercado se puede mover en nuestra contra si esperamos mucho. La solución óptima depende de que tanta importancia se le tiene al precio vs. al impacto de mercado.</w:t>
      </w:r>
    </w:p>
    <w:p>
      <w:pPr>
        <w:pStyle w:val="ListParagraph"/>
        <w:numPr>
          <w:ilvl w:val="0"/>
          <w:numId w:val="2"/>
        </w:numPr>
        <w:spacing w:after="60" w:line="276"/>
        <w:jc w:val="both"/>
      </w:pPr>
      <w:r>
        <w:t xml:space="preserve">Estrategias adaptativas (IS): modifican la tasa de ejecución en función a las limitaciones del mercado en tiempo real, con el objetivo de minimizar el costo total de la ejecución. son superiores en la adaptabilidad, pero requieren una maoyr calibracion  mucho más compleja y deben asumir formas funcionales de impacto, que pueden no capturar la microestructura real del IPSA</w:t>
      </w:r>
    </w:p>
    <w:p>
      <w:pPr>
        <w:spacing w:after="120" w:line="276"/>
        <w:jc w:val="both"/>
      </w:pPr>
      <w:r>
        <w:t xml:space="preserve">La tabla a continuación muestra un resumen de las características principales de las tres estrategias y la brecha que el sistema propuesto busca cubrir: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8"/>
        <w:gridCol w:w="2272"/>
        <w:gridCol w:w="2640"/>
        <w:gridCol w:w="2886"/>
      </w:tblGrid>
      <w:tr>
        <w:trPr>
          <w:cantSplit/>
          <w:tblHeader/>
        </w:trPr>
        <w:tc>
          <w:tcPr>
            <w:tcW w:type="dxa" w:w="1228"/>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Característica</w:t>
            </w:r>
          </w:p>
        </w:tc>
        <w:tc>
          <w:tcPr>
            <w:tcW w:type="dxa" w:w="2272"/>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TWAP</w:t>
            </w:r>
          </w:p>
        </w:tc>
        <w:tc>
          <w:tcPr>
            <w:tcW w:type="dxa" w:w="264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VWAP</w:t>
            </w:r>
          </w:p>
        </w:tc>
        <w:tc>
          <w:tcPr>
            <w:tcW w:type="dxa" w:w="288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IS / Adaptativa</w:t>
            </w:r>
          </w:p>
        </w:tc>
      </w:tr>
      <w:tr>
        <w:trPr>
          <w:cantSplit/>
          <w:tblHeader w:val="off"/>
        </w:trPr>
        <w:tc>
          <w:tcPr>
            <w:tcW w:type="dxa" w:w="122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Referencia benchmark</w:t>
            </w:r>
          </w:p>
        </w:tc>
        <w:tc>
          <w:tcPr>
            <w:tcW w:type="dxa" w:w="227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Tiempo promedio ponderado</w:t>
            </w:r>
          </w:p>
        </w:tc>
        <w:tc>
          <w:tcPr>
            <w:tcW w:type="dxa" w:w="264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Volumen promedio ponderado</w:t>
            </w:r>
          </w:p>
        </w:tc>
        <w:tc>
          <w:tcPr>
            <w:tcW w:type="dxa" w:w="288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Diferencia vs. precio de decisión</w:t>
            </w:r>
          </w:p>
        </w:tc>
      </w:tr>
      <w:tr>
        <w:trPr>
          <w:cantSplit/>
          <w:tblHeader w:val="off"/>
        </w:trPr>
        <w:tc>
          <w:tcPr>
            <w:tcW w:type="dxa" w:w="122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Complejidad</w:t>
            </w:r>
          </w:p>
        </w:tc>
        <w:tc>
          <w:tcPr>
            <w:tcW w:type="dxa" w:w="2272"/>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Baja — tasa constante</w:t>
            </w:r>
          </w:p>
        </w:tc>
        <w:tc>
          <w:tcPr>
            <w:tcW w:type="dxa" w:w="264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Media — requiere perfil de volumen</w:t>
            </w:r>
          </w:p>
        </w:tc>
        <w:tc>
          <w:tcPr>
            <w:tcW w:type="dxa" w:w="288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Alta — optimización dinámica</w:t>
            </w:r>
          </w:p>
        </w:tc>
      </w:tr>
      <w:tr>
        <w:trPr>
          <w:cantSplit/>
          <w:tblHeader w:val="off"/>
        </w:trPr>
        <w:tc>
          <w:tcPr>
            <w:tcW w:type="dxa" w:w="122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Adaptabilidad</w:t>
            </w:r>
          </w:p>
        </w:tc>
        <w:tc>
          <w:tcPr>
            <w:tcW w:type="dxa" w:w="227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Nula — tasa fija</w:t>
            </w:r>
          </w:p>
        </w:tc>
        <w:tc>
          <w:tcPr>
            <w:tcW w:type="dxa" w:w="264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Baja — sigue volumen histórico</w:t>
            </w:r>
          </w:p>
        </w:tc>
        <w:tc>
          <w:tcPr>
            <w:tcW w:type="dxa" w:w="288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Alta — reacciona al mercado en tiempo real</w:t>
            </w:r>
          </w:p>
        </w:tc>
      </w:tr>
      <w:tr>
        <w:trPr>
          <w:cantSplit/>
          <w:tblHeader w:val="off"/>
        </w:trPr>
        <w:tc>
          <w:tcPr>
            <w:tcW w:type="dxa" w:w="122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Riesgo de timing</w:t>
            </w:r>
          </w:p>
        </w:tc>
        <w:tc>
          <w:tcPr>
            <w:tcW w:type="dxa" w:w="2272"/>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Alto — ignora condiciones de liquidez</w:t>
            </w:r>
          </w:p>
        </w:tc>
        <w:tc>
          <w:tcPr>
            <w:tcW w:type="dxa" w:w="264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Moderado — depende del perfil histórico</w:t>
            </w:r>
          </w:p>
        </w:tc>
        <w:tc>
          <w:tcPr>
            <w:tcW w:type="dxa" w:w="288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Bajo si se gestiona correctamente</w:t>
            </w:r>
          </w:p>
        </w:tc>
      </w:tr>
      <w:tr>
        <w:trPr>
          <w:cantSplit/>
          <w:tblHeader w:val="off"/>
        </w:trPr>
        <w:tc>
          <w:tcPr>
            <w:tcW w:type="dxa" w:w="122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Uso típico</w:t>
            </w:r>
          </w:p>
        </w:tc>
        <w:tc>
          <w:tcPr>
            <w:tcW w:type="dxa" w:w="227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Mercados ilíquidos, órdenes pequeñas</w:t>
            </w:r>
          </w:p>
        </w:tc>
        <w:tc>
          <w:tcPr>
            <w:tcW w:type="dxa" w:w="264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Ejecución institucional en renta variable</w:t>
            </w:r>
          </w:p>
        </w:tc>
        <w:tc>
          <w:tcPr>
            <w:tcW w:type="dxa" w:w="288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Ejecución de alto volumen con control de costos</w:t>
            </w:r>
          </w:p>
        </w:tc>
      </w:tr>
      <w:tr>
        <w:trPr>
          <w:cantSplit/>
          <w:tblHeader w:val="off"/>
        </w:trPr>
        <w:tc>
          <w:tcPr>
            <w:tcW w:type="dxa" w:w="122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Principal limitación</w:t>
            </w:r>
          </w:p>
        </w:tc>
        <w:tc>
          <w:tcPr>
            <w:tcW w:type="dxa" w:w="2272"/>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No aprovecha patrones de liquidez</w:t>
            </w:r>
          </w:p>
        </w:tc>
        <w:tc>
          <w:tcPr>
            <w:tcW w:type="dxa" w:w="264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Perfil de volumen incierto en días atípicos</w:t>
            </w:r>
          </w:p>
        </w:tc>
        <w:tc>
          <w:tcPr>
            <w:tcW w:type="dxa" w:w="288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Implementación compleja, requiere calibración</w:t>
            </w:r>
          </w:p>
        </w:tc>
      </w:tr>
    </w:tbl>
    <w:p>
      <w:pPr>
        <w:spacing w:after="100"/>
      </w:pPr>
    </w:p>
    <w:p>
      <w:pPr>
        <w:spacing w:after="120" w:line="276"/>
        <w:jc w:val="center"/>
      </w:pPr>
      <w:r>
        <w:rPr>
          <w:i/>
          <w:iCs/>
        </w:rPr>
        <w:t xml:space="preserve">Tabla 2: Comparación de las principales estrategias tradicionales de ejecución algorítmica. Elaboración propia basada en Almgren &amp; Chriss (2001) y Kato (2015).</w:t>
      </w:r>
    </w:p>
    <w:p>
      <w:pPr>
        <w:spacing w:after="120" w:line="276"/>
        <w:jc w:val="both"/>
      </w:pPr>
      <w:r>
        <w:t xml:space="preserve">Ambas estrategias estáticas (TWAP y VWAP) fallan ante las particularidades del IPSA, donde la liquidez puede desaparecer abruptamente por factores internos o externos, y donde los inversores institucionales que repiten estas estrategias son fácilmente detectables por otros participantes del mercado, quienes pueden anticipar y explotar sus órdenes (fenómeno conocido como front-running). Esta es precisamente la brecha que el sistema de Coordinación de Agentes Inteligentes propuesto busca cubrir, incorporando elementos de adaptabilidad y aleatoriedad controlada que hacen la estrategia impredecible para terceros.</w:t>
      </w:r>
    </w:p>
    <w:p>
      <w:pPr>
        <w:pStyle w:val="Heading2"/>
      </w:pPr>
      <w:r>
        <w:t xml:space="preserve">4.2 Descripción del proyecto parte IA</w:t>
      </w:r>
    </w:p>
    <w:p>
      <w:pPr>
        <w:spacing w:after="120" w:line="276"/>
        <w:jc w:val="both"/>
      </w:pPr>
      <w:r>
        <w:t xml:space="preserve">La solución propuesta se basa en la arquitectura de aprendizaje por refuerzo Multi agente (MARL) diseñada para operar bajo restricciones de liquidez del índice del IPSA. Este sistema, a diferencia de los algoritmos estáticos, utiliza una estructura jerarquizada que separa la planificación de largo plazo de la ejecución de corto plazo, combinando la visión macro del mercado con la reactividad táctica ante limitaciones microestructurales locales.</w:t>
      </w:r>
    </w:p>
    <w:p>
      <w:pPr>
        <w:spacing w:after="120" w:line="276"/>
        <w:jc w:val="both"/>
      </w:pPr>
      <w:r>
        <w:t xml:space="preserve">El fundamento teórico de este enfoque, se basa en los resultados de los trabajos pioneros de Nevmyvaka et al. (2006), quienes presentaron la primera aplicación efectiva de  aprendizaje por refuerzo a la ejecución óptima, a gran escala, demostrando la mejora significativa frente al uso de las estrategias de referencia. También los trabajos posteriores como Ning et al (2021), los cuales usaron Deep Q-Networks, y lin y Beling (2020), que usaron PPO, que dio como resultado a la validación de la superioridad del enfoque de RL encima de los métodos tradiciones, incluso con datos escasos y señales de recompensa dispersas</w:t>
      </w:r>
    </w:p>
    <w:p>
      <w:pPr>
        <w:pStyle w:val="Heading3"/>
      </w:pPr>
      <w:r>
        <w:t xml:space="preserve">4.2.1 Arquitectura Maestro (Master Agent)</w:t>
      </w:r>
    </w:p>
    <w:p>
      <w:pPr>
        <w:spacing w:after="120" w:line="276"/>
        <w:jc w:val="both"/>
      </w:pPr>
      <w:r>
        <w:t xml:space="preserve">El Agente Maestro opera como controlador estratégico de la jornada bursátil completa. Su rol es planificar la fragmentación de la meta-orden total en bloques de volumen menores (</w:t>
      </w:r>
      <w:r>
        <w:rPr>
          <w:i/>
          <w:iCs/>
        </w:rPr>
        <w:t xml:space="preserve">slices</w:t>
      </w:r>
      <w:r>
        <w:t xml:space="preserve">) y definir las ventanas temporales óptimas para su envío, considerando los patrones intradíarios de liquidez del IPSA documentados en la sección 4.1.1.</w:t>
      </w:r>
    </w:p>
    <w:p>
      <w:pPr>
        <w:spacing w:after="120" w:line="276"/>
        <w:jc w:val="both"/>
      </w:pPr>
      <w:r>
        <w:t xml:space="preserve">Formalmente, el Agente Maestro se modela como un </w:t>
      </w:r>
      <w:r>
        <w:rPr>
          <w:b/>
          <w:bCs/>
        </w:rPr>
        <w:t xml:space="preserve">Proceso de Decisión de Markov</w:t>
      </w:r>
      <w:r>
        <w:t xml:space="preserve"> (MDP) definido por la tupla:</w:t>
      </w:r>
    </w:p>
    <w:p>
      <w:pPr>
        <w:spacing w:after="120" w:line="276"/>
        <w:jc w:val="center"/>
      </w:pPr>
      <w:r>
        <w:rPr>
          <w:b/>
          <w:bCs/>
        </w:rPr>
        <w:t xml:space="preserve">MDP_M = (S_M,  A_M,  P_M,  R_M,  γ_M,  T_M)</w:t>
      </w:r>
    </w:p>
    <w:p>
      <w:pPr>
        <w:spacing w:after="120" w:line="276"/>
        <w:jc w:val="both"/>
      </w:pPr>
      <w:r>
        <w:t xml:space="preserve">Donde </w:t>
      </w:r>
      <w:r>
        <w:rPr>
          <w:b/>
          <w:bCs/>
        </w:rPr>
        <w:t xml:space="preserve">S_M</w:t>
      </w:r>
      <w:r>
        <w:t xml:space="preserve"> es el espacio de estado, </w:t>
      </w:r>
      <w:r>
        <w:rPr>
          <w:b/>
          <w:bCs/>
        </w:rPr>
        <w:t xml:space="preserve">A_M</w:t>
      </w:r>
      <w:r>
        <w:t xml:space="preserve"> el espacio de acción, </w:t>
      </w:r>
      <w:r>
        <w:rPr>
          <w:b/>
          <w:bCs/>
        </w:rPr>
        <w:t xml:space="preserve">P_M</w:t>
      </w:r>
      <w:r>
        <w:t xml:space="preserve"> la probabilidad de transición modelada por el simulador de mercado, </w:t>
      </w:r>
      <w:r>
        <w:rPr>
          <w:b/>
          <w:bCs/>
        </w:rPr>
        <w:t xml:space="preserve">R_M</w:t>
      </w:r>
      <w:r>
        <w:t xml:space="preserve"> la función de recompensa, </w:t>
      </w:r>
      <w:r>
        <w:rPr>
          <w:b/>
          <w:bCs/>
        </w:rPr>
        <w:t xml:space="preserve">γ_M ≈ 0.99</w:t>
      </w:r>
      <w:r>
        <w:t xml:space="preserve"> el factor de descuento (alto, dado el horizonte de planificación de jornada completa), y </w:t>
      </w:r>
      <w:r>
        <w:rPr>
          <w:b/>
          <w:bCs/>
        </w:rPr>
        <w:t xml:space="preserve">T_M</w:t>
      </w:r>
      <w:r>
        <w:t xml:space="preserve"> el horizonte temporal correspondiente a la sesión de negociación (9:30–16:00 hrs).</w:t>
      </w:r>
    </w:p>
    <w:p>
      <w:pPr>
        <w:pStyle w:val="Heading4"/>
      </w:pPr>
      <w:r>
        <w:t xml:space="preserve">Espacio de Estado del Agente Maestro (S_M)</w:t>
      </w:r>
    </w:p>
    <w:p>
      <w:pPr>
        <w:spacing w:after="120" w:line="276"/>
        <w:jc w:val="both"/>
      </w:pPr>
      <w:r>
        <w:t xml:space="preserve">El vector de estado del Maestro combina información privada del agente con señales públicas de mercado agregadas:</w:t>
      </w:r>
    </w:p>
    <w:p>
      <w:pPr>
        <w:spacing w:after="120" w:line="276"/>
        <w:jc w:val="both"/>
      </w:pPr>
      <w:r>
        <w:rPr>
          <w:b/>
          <w:bCs/>
        </w:rPr>
        <w:t xml:space="preserve">Estado privado (información propia del agente):</w:t>
      </w:r>
    </w:p>
    <w:p>
      <w:pPr>
        <w:pStyle w:val="ListParagraph"/>
        <w:numPr>
          <w:ilvl w:val="0"/>
          <w:numId w:val="2"/>
        </w:numPr>
        <w:spacing w:after="60" w:line="276"/>
        <w:jc w:val="both"/>
      </w:pPr>
      <w:r>
        <w:rPr>
          <w:b/>
          <w:bCs/>
        </w:rPr>
        <w:t xml:space="preserve">Inventario restante normalizado: </w:t>
      </w:r>
      <w:r>
        <w:t xml:space="preserve">q_t = (Q_total − Q_ejecutado) / Q_total ∈ [0, 1]. Indica qué fracción de la meta-orden falta por ejecutar.</w:t>
      </w:r>
    </w:p>
    <w:p>
      <w:pPr>
        <w:pStyle w:val="ListParagraph"/>
        <w:numPr>
          <w:ilvl w:val="0"/>
          <w:numId w:val="2"/>
        </w:numPr>
        <w:spacing w:after="60" w:line="276"/>
        <w:jc w:val="both"/>
      </w:pPr>
      <w:r>
        <w:rPr>
          <w:b/>
          <w:bCs/>
        </w:rPr>
        <w:t xml:space="preserve">Fracción de tiempo restante: </w:t>
      </w:r>
      <w:r>
        <w:t xml:space="preserve">τ_t = (T − t) / T ∈ [0, 1]. Normaliza el tiempo que queda de jornada.</w:t>
      </w:r>
    </w:p>
    <w:p>
      <w:pPr>
        <w:pStyle w:val="ListParagraph"/>
        <w:numPr>
          <w:ilvl w:val="0"/>
          <w:numId w:val="2"/>
        </w:numPr>
        <w:spacing w:after="60" w:line="276"/>
        <w:jc w:val="both"/>
      </w:pPr>
      <w:r>
        <w:rPr>
          <w:b/>
          <w:bCs/>
        </w:rPr>
        <w:t xml:space="preserve">Número de slices ya enviados</w:t>
      </w:r>
      <w:r>
        <w:t xml:space="preserve"> en la jornada actual.</w:t>
      </w:r>
    </w:p>
    <w:p>
      <w:pPr>
        <w:spacing w:after="120" w:line="276"/>
        <w:jc w:val="both"/>
      </w:pPr>
      <w:r>
        <w:rPr>
          <w:b/>
          <w:bCs/>
        </w:rPr>
        <w:t xml:space="preserve">Estado público (señales de mercado agregadas):</w:t>
      </w:r>
    </w:p>
    <w:p>
      <w:pPr>
        <w:pStyle w:val="ListParagraph"/>
        <w:numPr>
          <w:ilvl w:val="0"/>
          <w:numId w:val="2"/>
        </w:numPr>
        <w:spacing w:after="60" w:line="276"/>
        <w:jc w:val="both"/>
      </w:pPr>
      <w:r>
        <w:rPr>
          <w:b/>
          <w:bCs/>
        </w:rPr>
        <w:t xml:space="preserve">Volatilidad reciente del precio mid</w:t>
      </w:r>
      <w:r>
        <w:t xml:space="preserve">: calculada sobre una ventana móvil de 30 minutos.</w:t>
      </w:r>
    </w:p>
    <w:p>
      <w:pPr>
        <w:pStyle w:val="ListParagraph"/>
        <w:numPr>
          <w:ilvl w:val="0"/>
          <w:numId w:val="2"/>
        </w:numPr>
        <w:spacing w:after="60" w:line="276"/>
        <w:jc w:val="both"/>
      </w:pPr>
      <w:r>
        <w:rPr>
          <w:b/>
          <w:bCs/>
        </w:rPr>
        <w:t xml:space="preserve">Volumen promedio transado</w:t>
      </w:r>
      <w:r>
        <w:t xml:space="preserve"> en los últimos N períodos.</w:t>
      </w:r>
    </w:p>
    <w:p>
      <w:pPr>
        <w:pStyle w:val="ListParagraph"/>
        <w:numPr>
          <w:ilvl w:val="0"/>
          <w:numId w:val="2"/>
        </w:numPr>
        <w:spacing w:after="60" w:line="276"/>
        <w:jc w:val="both"/>
      </w:pPr>
      <w:r>
        <w:rPr>
          <w:b/>
          <w:bCs/>
        </w:rPr>
        <w:t xml:space="preserve">Order Book Imbalance (OBI) agregado: </w:t>
      </w:r>
      <w:r>
        <w:t xml:space="preserve">OBI = (V_bid − V_ask) / (V_bid + V_ask). Mide la presión compradora o vendedora en el LOB.</w:t>
      </w:r>
    </w:p>
    <w:p>
      <w:pPr>
        <w:pStyle w:val="ListParagraph"/>
        <w:numPr>
          <w:ilvl w:val="0"/>
          <w:numId w:val="2"/>
        </w:numPr>
        <w:spacing w:after="60" w:line="276"/>
        <w:jc w:val="both"/>
      </w:pPr>
      <w:r>
        <w:rPr>
          <w:b/>
          <w:bCs/>
        </w:rPr>
        <w:t xml:space="preserve">Indicador de sesión intradíaria</w:t>
      </w:r>
      <w:r>
        <w:t xml:space="preserve">: variable discreta que distingue apertura (9:30–11:30), media jornada (11:30–14:00) y cierre (14:00–16:00), capturando los patrones de liquidez del IPSA.</w:t>
      </w:r>
    </w:p>
    <w:p>
      <w:pPr>
        <w:pStyle w:val="Heading4"/>
      </w:pPr>
      <w:r>
        <w:t xml:space="preserve">Espacio de Acción del Agente Maestro (A_M)</w:t>
      </w:r>
    </w:p>
    <w:p>
      <w:pPr>
        <w:spacing w:after="120" w:line="276"/>
        <w:jc w:val="both"/>
      </w:pPr>
      <w:r>
        <w:t xml:space="preserve">En cada período macro (cada 30 minutos de jornada), el Maestro toma dos decisiones simultáneas:</w:t>
      </w:r>
    </w:p>
    <w:p>
      <w:pPr>
        <w:pStyle w:val="ListParagraph"/>
        <w:numPr>
          <w:ilvl w:val="0"/>
          <w:numId w:val="2"/>
        </w:numPr>
        <w:spacing w:after="60" w:line="276"/>
        <w:jc w:val="both"/>
      </w:pPr>
      <w:r>
        <w:rPr>
          <w:b/>
          <w:bCs/>
        </w:rPr>
        <w:t xml:space="preserve">Volumen del slice: </w:t>
      </w:r>
      <w:r>
        <w:t xml:space="preserve">fracción α_t ∈ {0.05, 0.10, 0.15, ..., 0.50} del inventario restante que se asignará a los Ejecutores.</w:t>
      </w:r>
    </w:p>
    <w:p>
      <w:pPr>
        <w:pStyle w:val="ListParagraph"/>
        <w:numPr>
          <w:ilvl w:val="0"/>
          <w:numId w:val="2"/>
        </w:numPr>
        <w:spacing w:after="60" w:line="276"/>
        <w:jc w:val="both"/>
      </w:pPr>
      <w:r>
        <w:rPr>
          <w:b/>
          <w:bCs/>
        </w:rPr>
        <w:t xml:space="preserve">Ventana de ejecución: </w:t>
      </w:r>
      <w:r>
        <w:t xml:space="preserve">duración del intervalo asignado (discreta: 1, 5, 10 o 15 minutos).</w:t>
      </w:r>
    </w:p>
    <w:p>
      <w:pPr>
        <w:spacing w:after="120" w:line="276"/>
        <w:jc w:val="both"/>
      </w:pPr>
      <w:r>
        <w:t xml:space="preserve">El espacio de acción del Maestro es </w:t>
      </w:r>
      <w:r>
        <w:rPr>
          <w:b/>
          <w:bCs/>
        </w:rPr>
        <w:t xml:space="preserve">discreto</w:t>
      </w:r>
      <w:r>
        <w:t xml:space="preserve">, lo que favorece la estabilidad del aprendizaje PPO en horizontes largos con señales de recompensa dispersas, siguiendo las recomendaciones de Lin &amp; Beling (2020) y Ning et al. (2021).</w:t>
      </w:r>
    </w:p>
    <w:p>
      <w:pPr>
        <w:spacing w:after="120" w:line="276"/>
        <w:jc w:val="both"/>
      </w:pPr>
      <w:r>
        <w:t xml:space="preserve">La política del Agente Maestro se aprende mediante PPO y su función de valor estima el costo de ejecución esperado para el resto del horizonte dado el estado actual del inventario y del mercado, siguiendo el paradigma actor-crítico: una red aprende qué hacer (actor) y otra evalúa qué tan buenas son esas decisiones (crítico).</w:t>
      </w:r>
    </w:p>
    <w:p>
      <w:pPr>
        <w:pStyle w:val="Heading3"/>
      </w:pPr>
      <w:r>
        <w:t xml:space="preserve">4.2.2 Agentes Ejecutores (Executors)</w:t>
      </w:r>
    </w:p>
    <w:p>
      <w:pPr>
        <w:spacing w:after="120" w:line="276"/>
        <w:jc w:val="both"/>
      </w:pPr>
      <w:r>
        <w:t xml:space="preserve">Los Agentes Ejecutores operan en el nivel táctico del sistema, reaccionando en escalas de segundos a minutos. Reciben del Maestro el volumen del slice asignado y la ventana temporal, y deben decidir el precio y momento exacto de colocar cada orden, con el objetivo de capturar liquidez oportunista en el LOB y reducir el spread efectivamente pagado.</w:t>
      </w:r>
    </w:p>
    <w:p>
      <w:pPr>
        <w:spacing w:after="120" w:line="276"/>
        <w:jc w:val="both"/>
      </w:pPr>
      <w:r>
        <w:t xml:space="preserve">Formalmente, cada Agente Ejecutor se modela como:</w:t>
      </w:r>
    </w:p>
    <w:p>
      <w:pPr>
        <w:spacing w:after="120" w:line="276"/>
        <w:jc w:val="center"/>
      </w:pPr>
      <w:r>
        <w:rPr>
          <w:b/>
          <w:bCs/>
        </w:rPr>
        <w:t xml:space="preserve">MDP_E = (S_E,  A_E,  P_E,  R_E,  γ_E,  T_E)</w:t>
      </w:r>
    </w:p>
    <w:p>
      <w:pPr>
        <w:spacing w:after="120" w:line="276"/>
        <w:jc w:val="both"/>
      </w:pPr>
      <w:r>
        <w:t xml:space="preserve">Donde </w:t>
      </w:r>
      <w:r>
        <w:rPr>
          <w:b/>
          <w:bCs/>
        </w:rPr>
        <w:t xml:space="preserve">γ_E ≈ 0.95</w:t>
      </w:r>
      <w:r>
        <w:t xml:space="preserve"> (factor de descuento medio, foco táctico de corto plazo) y </w:t>
      </w:r>
      <w:r>
        <w:rPr>
          <w:b/>
          <w:bCs/>
        </w:rPr>
        <w:t xml:space="preserve">T_E</w:t>
      </w:r>
      <w:r>
        <w:t xml:space="preserve"> es el intervalo asignado por el Maestro (30 segundos a 15 minutos). La coordinación entre el Maestro y los Ejecutores sigue el paradigma </w:t>
      </w:r>
      <w:r>
        <w:rPr>
          <w:b/>
          <w:bCs/>
        </w:rPr>
        <w:t xml:space="preserve">CTDE</w:t>
      </w:r>
      <w:r>
        <w:t xml:space="preserve"> (Centralized Training with Decentralized Execution, Lowe et al., 2017): durante el entrenamiento los agentes comparten información global; durante la ejecución cada uno actúa autónomamente con su observación local.</w:t>
      </w:r>
    </w:p>
    <w:p>
      <w:pPr>
        <w:pStyle w:val="Heading4"/>
      </w:pPr>
      <w:r>
        <w:t xml:space="preserve">Espacio de Estado de los Agentes Ejecutores (S_E)</w:t>
      </w:r>
    </w:p>
    <w:p>
      <w:pPr>
        <w:spacing w:after="120" w:line="276"/>
        <w:jc w:val="both"/>
      </w:pPr>
      <w:r>
        <w:rPr>
          <w:b/>
          <w:bCs/>
        </w:rPr>
        <w:t xml:space="preserve">Estado privado:</w:t>
      </w:r>
    </w:p>
    <w:p>
      <w:pPr>
        <w:pStyle w:val="ListParagraph"/>
        <w:numPr>
          <w:ilvl w:val="0"/>
          <w:numId w:val="2"/>
        </w:numPr>
        <w:spacing w:after="60" w:line="276"/>
        <w:jc w:val="both"/>
      </w:pPr>
      <w:r>
        <w:rPr>
          <w:b/>
          <w:bCs/>
        </w:rPr>
        <w:t xml:space="preserve">Volumen del slice asignado por el Maestro: </w:t>
      </w:r>
      <w:r>
        <w:t xml:space="preserve">q_slice (cantidad total a ejecutar en este intervalo).</w:t>
      </w:r>
    </w:p>
    <w:p>
      <w:pPr>
        <w:pStyle w:val="ListParagraph"/>
        <w:numPr>
          <w:ilvl w:val="0"/>
          <w:numId w:val="2"/>
        </w:numPr>
        <w:spacing w:after="60" w:line="276"/>
        <w:jc w:val="both"/>
      </w:pPr>
      <w:r>
        <w:rPr>
          <w:b/>
          <w:bCs/>
        </w:rPr>
        <w:t xml:space="preserve">Volumen pendiente de ejecutar</w:t>
      </w:r>
      <w:r>
        <w:t xml:space="preserve"> dentro del slice actual.</w:t>
      </w:r>
    </w:p>
    <w:p>
      <w:pPr>
        <w:pStyle w:val="ListParagraph"/>
        <w:numPr>
          <w:ilvl w:val="0"/>
          <w:numId w:val="2"/>
        </w:numPr>
        <w:spacing w:after="60" w:line="276"/>
        <w:jc w:val="both"/>
      </w:pPr>
      <w:r>
        <w:rPr>
          <w:b/>
          <w:bCs/>
        </w:rPr>
        <w:t xml:space="preserve">Tiempo restante para completar el slice</w:t>
      </w:r>
      <w:r>
        <w:t xml:space="preserve"> (normalizado ∈ [0, 1]).</w:t>
      </w:r>
    </w:p>
    <w:p>
      <w:pPr>
        <w:spacing w:after="120" w:line="276"/>
        <w:jc w:val="both"/>
      </w:pPr>
      <w:r>
        <w:rPr>
          <w:b/>
          <w:bCs/>
        </w:rPr>
        <w:t xml:space="preserve">Estado público (microestructura del LOB, nivel 2):</w:t>
      </w:r>
    </w:p>
    <w:p>
      <w:pPr>
        <w:pStyle w:val="ListParagraph"/>
        <w:numPr>
          <w:ilvl w:val="0"/>
          <w:numId w:val="2"/>
        </w:numPr>
        <w:spacing w:after="60" w:line="276"/>
        <w:jc w:val="both"/>
      </w:pPr>
      <w:r>
        <w:rPr>
          <w:b/>
          <w:bCs/>
        </w:rPr>
        <w:t xml:space="preserve">Mejores 5 niveles de precio y volumen</w:t>
      </w:r>
      <w:r>
        <w:t xml:space="preserve"> del lado comprador (bids) y vendedor (asks).</w:t>
      </w:r>
    </w:p>
    <w:p>
      <w:pPr>
        <w:pStyle w:val="ListParagraph"/>
        <w:numPr>
          <w:ilvl w:val="0"/>
          <w:numId w:val="2"/>
        </w:numPr>
        <w:spacing w:after="60" w:line="276"/>
        <w:jc w:val="both"/>
      </w:pPr>
      <w:r>
        <w:rPr>
          <w:b/>
          <w:bCs/>
        </w:rPr>
        <w:t xml:space="preserve">Spread bid-ask actual: </w:t>
      </w:r>
      <w:r>
        <w:t xml:space="preserve">spread_t = P_ask^1 − P_bid^1.</w:t>
      </w:r>
    </w:p>
    <w:p>
      <w:pPr>
        <w:pStyle w:val="ListParagraph"/>
        <w:numPr>
          <w:ilvl w:val="0"/>
          <w:numId w:val="2"/>
        </w:numPr>
        <w:spacing w:after="60" w:line="276"/>
        <w:jc w:val="both"/>
      </w:pPr>
      <w:r>
        <w:rPr>
          <w:b/>
          <w:bCs/>
        </w:rPr>
        <w:t xml:space="preserve">OBI instantáneo: </w:t>
      </w:r>
      <w:r>
        <w:t xml:space="preserve">mide el desequilibrio del libro en tiempo real.</w:t>
      </w:r>
    </w:p>
    <w:p>
      <w:pPr>
        <w:pStyle w:val="ListParagraph"/>
        <w:numPr>
          <w:ilvl w:val="0"/>
          <w:numId w:val="2"/>
        </w:numPr>
        <w:spacing w:after="60" w:line="276"/>
        <w:jc w:val="both"/>
      </w:pPr>
      <w:r>
        <w:rPr>
          <w:b/>
          <w:bCs/>
        </w:rPr>
        <w:t xml:space="preserve">Tasa de llegada de órdenes</w:t>
      </w:r>
      <w:r>
        <w:t xml:space="preserve"> en los últimos 30 segundos.</w:t>
      </w:r>
    </w:p>
    <w:p>
      <w:pPr>
        <w:pStyle w:val="ListParagraph"/>
        <w:numPr>
          <w:ilvl w:val="0"/>
          <w:numId w:val="2"/>
        </w:numPr>
        <w:spacing w:after="60" w:line="276"/>
        <w:jc w:val="both"/>
      </w:pPr>
      <w:r>
        <w:rPr>
          <w:b/>
          <w:bCs/>
        </w:rPr>
        <w:t xml:space="preserve">Precio mid actual: </w:t>
      </w:r>
      <w:r>
        <w:t xml:space="preserve">P_mid = (P_ask^1 + P_bid^1) / 2.</w:t>
      </w:r>
    </w:p>
    <w:p>
      <w:pPr>
        <w:spacing w:after="120" w:line="276"/>
        <w:jc w:val="both"/>
      </w:pPr>
      <w:r>
        <w:t xml:space="preserve">Esta estructura es consistente con la adoptada en trabajos empíricos clave (Nevmyvaka et al., 2006; Karpe et al., 2020; Frey et al., 2023), adaptada a las características del IPSA donde la profundidad del LOB es estructuralmente menor que en mercados globales.</w:t>
      </w:r>
    </w:p>
    <w:p>
      <w:pPr>
        <w:pStyle w:val="Heading4"/>
      </w:pPr>
      <w:r>
        <w:t xml:space="preserve">Espacio de Acción de los Agentes Ejecutores (A_E)</w:t>
      </w:r>
    </w:p>
    <w:p>
      <w:pPr>
        <w:spacing w:after="120" w:line="276"/>
        <w:jc w:val="both"/>
      </w:pPr>
      <w:r>
        <w:t xml:space="preserve">En cada paso micro (cada 30 segundos), el Ejecutor decide tres cosas simultáneas:</w:t>
      </w:r>
    </w:p>
    <w:p>
      <w:pPr>
        <w:pStyle w:val="ListParagraph"/>
        <w:numPr>
          <w:ilvl w:val="0"/>
          <w:numId w:val="2"/>
        </w:numPr>
        <w:spacing w:after="60" w:line="276"/>
        <w:jc w:val="both"/>
      </w:pPr>
      <w:r>
        <w:rPr>
          <w:b/>
          <w:bCs/>
        </w:rPr>
        <w:t xml:space="preserve">Tipo de orden: </w:t>
      </w:r>
      <w:r>
        <w:t xml:space="preserve">{orden de mercado, orden límite, no ejecutar}. La opción de no ejecutar permite al agente esperar condiciones de liquidez más favorables.</w:t>
      </w:r>
    </w:p>
    <w:p>
      <w:pPr>
        <w:pStyle w:val="ListParagraph"/>
        <w:numPr>
          <w:ilvl w:val="0"/>
          <w:numId w:val="2"/>
        </w:numPr>
        <w:spacing w:after="60" w:line="276"/>
        <w:jc w:val="both"/>
      </w:pPr>
      <w:r>
        <w:rPr>
          <w:b/>
          <w:bCs/>
        </w:rPr>
        <w:t xml:space="preserve">Volumen: </w:t>
      </w:r>
      <w:r>
        <w:t xml:space="preserve">fracción del slice a ejecutar en este paso ∈ [0, 1] (variable continua).</w:t>
      </w:r>
    </w:p>
    <w:p>
      <w:pPr>
        <w:pStyle w:val="ListParagraph"/>
        <w:numPr>
          <w:ilvl w:val="0"/>
          <w:numId w:val="2"/>
        </w:numPr>
        <w:spacing w:after="60" w:line="276"/>
        <w:jc w:val="both"/>
      </w:pPr>
      <w:r>
        <w:rPr>
          <w:b/>
          <w:bCs/>
        </w:rPr>
        <w:t xml:space="preserve">Precio límite</w:t>
      </w:r>
      <w:r>
        <w:t xml:space="preserve"> (si aplica): nivel relativo al mejor precio del LOB (discreta: mejor bid, bid−1, bid−2, precio mid).</w:t>
      </w:r>
    </w:p>
    <w:p>
      <w:pPr>
        <w:spacing w:after="120" w:line="276"/>
        <w:jc w:val="both"/>
      </w:pPr>
      <w:r>
        <w:t xml:space="preserve">El espacio de acción del Ejecutor es </w:t>
      </w:r>
      <w:r>
        <w:rPr>
          <w:b/>
          <w:bCs/>
        </w:rPr>
        <w:t xml:space="preserve">híbrido</w:t>
      </w:r>
      <w:r>
        <w:t xml:space="preserve"> (discreto para tipo y nivel de precio, continuo para volumen), siguiendo el enfoque de Fang et al. (2022), quien demostró que esta combinación es superior a espacios puramente discretos para ejecución en LOB, ya que permite adaptar tanto la cantidad como la forma de la orden a la microestructura observada en cada momento.</w:t>
      </w:r>
    </w:p>
    <w:p>
      <w:pPr>
        <w:pStyle w:val="Heading3"/>
      </w:pPr>
      <w:r>
        <w:t xml:space="preserve">4.2.3 Algoritmo de aprendizaje: Proximal Policy Optimization (PPO)</w:t>
      </w:r>
    </w:p>
    <w:p>
      <w:pPr>
        <w:spacing w:after="120" w:line="276"/>
        <w:jc w:val="both"/>
      </w:pPr>
      <w:r>
        <w:t xml:space="preserve">El algoritmo PPO (Schulman et al., 2017) es el motor de aprendizaje del sistema. Es un método de gradiente de política (</w:t>
      </w:r>
      <w:r>
        <w:rPr>
          <w:i/>
          <w:iCs/>
        </w:rPr>
        <w:t xml:space="preserve">policy gradient</w:t>
      </w:r>
      <w:r>
        <w:t xml:space="preserve">) que aprende directamente la política π_θ(a|s): la función que mapea estados a acciones. A diferencia de métodos basados en valor como DQN, los métodos de gradiente de política son especialmente adecuados para espacios de acción continuos o híbridos como el del Agente Ejecutor.</w:t>
      </w:r>
    </w:p>
    <w:p>
      <w:pPr>
        <w:spacing w:after="120" w:line="276"/>
        <w:jc w:val="both"/>
      </w:pPr>
      <w:r>
        <w:t xml:space="preserve">El predecesor de PPO, TRPO (Trust Region Policy Optimization), introdujo el concepto de limitar el cambio de política entre iteraciones para evitar inestabilidad. Sin embargo, TRPO es computacionalmente costoso al requerir el cálculo de la matriz Hessiana. PPO resuelve esto con un mecanismo más simple: el </w:t>
      </w:r>
      <w:r>
        <w:rPr>
          <w:b/>
          <w:bCs/>
        </w:rPr>
        <w:t xml:space="preserve">clipping</w:t>
      </w:r>
      <w:r>
        <w:t xml:space="preserve"> del objetivo, que restringe cuánto puede cambiar la política en cada actualización sin necesidad de cálculos de segundo orden.</w:t>
      </w:r>
    </w:p>
    <w:p>
      <w:pPr>
        <w:pStyle w:val="Heading4"/>
      </w:pPr>
      <w:r>
        <w:t xml:space="preserve">Objetivo Clipeado del PPO</w:t>
      </w:r>
    </w:p>
    <w:p>
      <w:pPr>
        <w:spacing w:after="120" w:line="276"/>
        <w:jc w:val="both"/>
      </w:pPr>
      <w:r>
        <w:t xml:space="preserve">Formalmente, PPO optimiza la siguiente función objetivo en cada iteración:</w:t>
      </w:r>
    </w:p>
    <w:p>
      <w:pPr>
        <w:spacing w:after="120" w:line="276"/>
        <w:jc w:val="center"/>
      </w:pPr>
      <w:r>
        <w:rPr>
          <w:b/>
          <w:bCs/>
        </w:rPr>
        <w:t xml:space="preserve">Lᶜᴸᴵᴺ(θ) = E_t [ min( r_t(θ) · A_t ,  clip(r_t(θ), 1−ε, 1+ε) · A_t ) ]</w:t>
      </w:r>
    </w:p>
    <w:p>
      <w:pPr>
        <w:spacing w:after="120" w:line="276"/>
        <w:jc w:val="both"/>
      </w:pPr>
      <w:r>
        <w:t xml:space="preserve">Cada componente tiene un rol concreto en el aprendizaje:</w:t>
      </w:r>
    </w:p>
    <w:p>
      <w:pPr>
        <w:pStyle w:val="ListParagraph"/>
        <w:numPr>
          <w:ilvl w:val="0"/>
          <w:numId w:val="2"/>
        </w:numPr>
        <w:spacing w:after="60" w:line="276"/>
        <w:jc w:val="both"/>
      </w:pPr>
      <w:r>
        <w:rPr>
          <w:b/>
          <w:bCs/>
        </w:rPr>
        <w:t xml:space="preserve">r_t(θ) = π_θ(a_t | s_t) / π_θ_old(a_t | s_t)</w:t>
      </w:r>
      <w:r>
        <w:t xml:space="preserve">: ratio entre la probabilidad de la acción bajo la política nueva y la antigua. Mide cuánto cambió la política.</w:t>
      </w:r>
    </w:p>
    <w:p>
      <w:pPr>
        <w:pStyle w:val="ListParagraph"/>
        <w:numPr>
          <w:ilvl w:val="0"/>
          <w:numId w:val="2"/>
        </w:numPr>
        <w:spacing w:after="60" w:line="276"/>
        <w:jc w:val="both"/>
      </w:pPr>
      <w:r>
        <w:rPr>
          <w:b/>
          <w:bCs/>
        </w:rPr>
        <w:t xml:space="preserve">A_t (Ventaja)</w:t>
      </w:r>
      <w:r>
        <w:t xml:space="preserve">: estimada mediante Generalized Advantage Estimation (GAE). Mide qué tan mejor fue la acción tomada respecto al valor esperado en ese estado. Si A_t &gt; 0, la acción fue mejor de lo esperado; si A_t &lt; 0, fue peor.</w:t>
      </w:r>
    </w:p>
    <w:p>
      <w:pPr>
        <w:pStyle w:val="ListParagraph"/>
        <w:numPr>
          <w:ilvl w:val="0"/>
          <w:numId w:val="2"/>
        </w:numPr>
        <w:spacing w:after="60" w:line="276"/>
        <w:jc w:val="both"/>
      </w:pPr>
      <w:r>
        <w:rPr>
          <w:b/>
          <w:bCs/>
        </w:rPr>
        <w:t xml:space="preserve">ε ∈ [0.1, 0.2]</w:t>
      </w:r>
      <w:r>
        <w:t xml:space="preserve">: parámetro de clipping. Limita el ratio r_t(θ) al rango [1−ε, 1+ε], impidiendo actualizaciones demasiado agresivas que desestabilicen el aprendizaje.</w:t>
      </w:r>
    </w:p>
    <w:p>
      <w:pPr>
        <w:spacing w:after="120" w:line="276"/>
        <w:jc w:val="both"/>
      </w:pPr>
      <w:r>
        <w:t xml:space="preserve">El mecanismo de clipping es especialmente crítico para el IPSA. En un mercado de baja liquidez, una actualización agresiva de política podría llevar al agente a comportamientos erráticos ante perturbaciones de liquidez como las que ocurren en la media jornada (11:30–14:00 hrs), donde el spread se amplía y la profundidad del LOB disminuye considerablemente.</w:t>
      </w:r>
    </w:p>
    <w:p>
      <w:pPr>
        <w:pStyle w:val="Heading4"/>
      </w:pPr>
      <w:r>
        <w:t xml:space="preserve">Arquitectura Actor-Crítico</w:t>
      </w:r>
    </w:p>
    <w:p>
      <w:pPr>
        <w:spacing w:after="120" w:line="276"/>
        <w:jc w:val="both"/>
      </w:pPr>
      <w:r>
        <w:t xml:space="preserve">PPO utiliza una arquitectura </w:t>
      </w:r>
      <w:r>
        <w:rPr>
          <w:b/>
          <w:bCs/>
        </w:rPr>
        <w:t xml:space="preserve">actor-crítico</w:t>
      </w:r>
      <w:r>
        <w:t xml:space="preserve">: dos redes neuronales que se entrenan simultáneamente. El </w:t>
      </w:r>
      <w:r>
        <w:rPr>
          <w:b/>
          <w:bCs/>
        </w:rPr>
        <w:t xml:space="preserve">actor</w:t>
      </w:r>
      <w:r>
        <w:t xml:space="preserve"> (π_θ) aprende qué acción tomar dado un estado. El </w:t>
      </w:r>
      <w:r>
        <w:rPr>
          <w:b/>
          <w:bCs/>
        </w:rPr>
        <w:t xml:space="preserve">crítico</w:t>
      </w:r>
      <w:r>
        <w:t xml:space="preserve"> (V_φ) aprende a estimar el valor esperado de cada estado, proporcionando la línea base para calcular la ventaja A_t. Esta separación produce un aprendizaje más eficiente y estable que los métodos puramente basados en valor o puramente en política.</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2"/>
        <w:gridCol w:w="3868"/>
        <w:gridCol w:w="4096"/>
      </w:tblGrid>
      <w:tr>
        <w:trPr>
          <w:cantSplit/>
          <w:tblHeader/>
        </w:trPr>
        <w:tc>
          <w:tcPr>
            <w:tcW w:type="dxa" w:w="1062"/>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Parámetro PPO</w:t>
            </w:r>
          </w:p>
        </w:tc>
        <w:tc>
          <w:tcPr>
            <w:tcW w:type="dxa" w:w="3868"/>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Descripción</w:t>
            </w:r>
          </w:p>
        </w:tc>
        <w:tc>
          <w:tcPr>
            <w:tcW w:type="dxa" w:w="409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Relevancia para el IPSA</w:t>
            </w:r>
          </w:p>
        </w:tc>
      </w:tr>
      <w:tr>
        <w:trPr>
          <w:cantSplit/>
          <w:tblHeader w:val="off"/>
        </w:trPr>
        <w:tc>
          <w:tcPr>
            <w:tcW w:type="dxa" w:w="106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ε (clipping)</w:t>
            </w:r>
          </w:p>
        </w:tc>
        <w:tc>
          <w:tcPr>
            <w:tcW w:type="dxa" w:w="386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Rango permitido de cambio de política por iteración</w:t>
            </w:r>
          </w:p>
        </w:tc>
        <w:tc>
          <w:tcPr>
            <w:tcW w:type="dxa" w:w="409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Previene decisiones erráticas ante volatilidad del LOB</w:t>
            </w:r>
          </w:p>
        </w:tc>
      </w:tr>
      <w:tr>
        <w:trPr>
          <w:cantSplit/>
          <w:tblHeader w:val="off"/>
        </w:trPr>
        <w:tc>
          <w:tcPr>
            <w:tcW w:type="dxa" w:w="1062"/>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γ (descuento)</w:t>
            </w:r>
          </w:p>
        </w:tc>
        <w:tc>
          <w:tcPr>
            <w:tcW w:type="dxa" w:w="386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Peso del futuro vs. recompensa inmediata</w:t>
            </w:r>
          </w:p>
        </w:tc>
        <w:tc>
          <w:tcPr>
            <w:tcW w:type="dxa" w:w="409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Alto en Maestro (0.99), medio en Ejecutores (0.95)</w:t>
            </w:r>
          </w:p>
        </w:tc>
      </w:tr>
      <w:tr>
        <w:trPr>
          <w:cantSplit/>
          <w:tblHeader w:val="off"/>
        </w:trPr>
        <w:tc>
          <w:tcPr>
            <w:tcW w:type="dxa" w:w="106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GAE λ</w:t>
            </w:r>
          </w:p>
        </w:tc>
        <w:tc>
          <w:tcPr>
            <w:tcW w:type="dxa" w:w="386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Balance sesgo-varianza en la estimación de ventaja</w:t>
            </w:r>
          </w:p>
        </w:tc>
        <w:tc>
          <w:tcPr>
            <w:tcW w:type="dxa" w:w="409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Reduce ruido en señales de recompensa del mercado</w:t>
            </w:r>
          </w:p>
        </w:tc>
      </w:tr>
      <w:tr>
        <w:trPr>
          <w:cantSplit/>
          <w:tblHeader w:val="off"/>
        </w:trPr>
        <w:tc>
          <w:tcPr>
            <w:tcW w:type="dxa" w:w="1062"/>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Tamaño de lote</w:t>
            </w:r>
          </w:p>
        </w:tc>
        <w:tc>
          <w:tcPr>
            <w:tcW w:type="dxa" w:w="3868"/>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Muestras por actualización de política</w:t>
            </w:r>
          </w:p>
        </w:tc>
        <w:tc>
          <w:tcPr>
            <w:tcW w:type="dxa" w:w="409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Mayor lote = más estabilidad en mercados ruidosos</w:t>
            </w:r>
          </w:p>
        </w:tc>
      </w:tr>
      <w:tr>
        <w:trPr>
          <w:cantSplit/>
          <w:tblHeader w:val="off"/>
        </w:trPr>
        <w:tc>
          <w:tcPr>
            <w:tcW w:type="dxa" w:w="106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Nº de épocas</w:t>
            </w:r>
          </w:p>
        </w:tc>
        <w:tc>
          <w:tcPr>
            <w:tcW w:type="dxa" w:w="3868"/>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Iteraciones sobre el mismo lote de experiencia</w:t>
            </w:r>
          </w:p>
        </w:tc>
        <w:tc>
          <w:tcPr>
            <w:tcW w:type="dxa" w:w="409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Se calibra para evitar sobreajuste a datos históricos</w:t>
            </w:r>
          </w:p>
        </w:tc>
      </w:tr>
    </w:tbl>
    <w:p>
      <w:pPr>
        <w:spacing w:after="100"/>
      </w:pPr>
    </w:p>
    <w:p>
      <w:pPr>
        <w:pStyle w:val="Heading3"/>
      </w:pPr>
      <w:r>
        <w:t xml:space="preserve">4.2.4 Dinámica de interacción y recompensa (Reward function)</w:t>
      </w:r>
    </w:p>
    <w:p>
      <w:pPr>
        <w:spacing w:after="120" w:line="276"/>
        <w:jc w:val="both"/>
      </w:pPr>
      <w:r>
        <w:t xml:space="preserve">La función de recompensa es el componente central que define qué aprende el sistema. Está diseñada para minimizar el </w:t>
      </w:r>
      <w:r>
        <w:rPr>
          <w:b/>
          <w:bCs/>
        </w:rPr>
        <w:t xml:space="preserve">Implementation Shortfall</w:t>
      </w:r>
      <w:r>
        <w:t xml:space="preserve"> (IS, Perold 1988) como métrica global, operando en dos niveles jerárquicos con horizontes temporales distintos. El diseño en dos niveles resuelve el problema de escala: el Maestro necesita una visión de jornada completa, mientras el Ejecutor necesita retroalimentación inmediata en cada operación.</w:t>
      </w:r>
    </w:p>
    <w:p>
      <w:pPr>
        <w:pStyle w:val="Heading4"/>
      </w:pPr>
      <w:r>
        <w:t xml:space="preserve">Recompensa del Agente Maestro (R_M)</w:t>
      </w:r>
    </w:p>
    <w:p>
      <w:pPr>
        <w:spacing w:after="120" w:line="276"/>
        <w:jc w:val="both"/>
      </w:pPr>
      <w:r>
        <w:t xml:space="preserve">El Maestro recibe una </w:t>
      </w:r>
      <w:r>
        <w:rPr>
          <w:b/>
          <w:bCs/>
        </w:rPr>
        <w:t xml:space="preserve">recompensa terminal dispersa</w:t>
      </w:r>
      <w:r>
        <w:t xml:space="preserve"> (</w:t>
      </w:r>
      <w:r>
        <w:rPr>
          <w:i/>
          <w:iCs/>
        </w:rPr>
        <w:t xml:space="preserve">sparse</w:t>
      </w:r>
      <w:r>
        <w:t xml:space="preserve">), evaluada únicamente al finalizar la jornada bursátil completa:</w:t>
      </w:r>
    </w:p>
    <w:p>
      <w:pPr>
        <w:spacing w:after="120" w:line="276"/>
        <w:jc w:val="center"/>
      </w:pPr>
      <w:r>
        <w:rPr>
          <w:b/>
          <w:bCs/>
        </w:rPr>
        <w:t xml:space="preserve">R_M = −IS_total − λ · max(0, Q_pendiente) × P_mid_cierre</w:t>
      </w:r>
    </w:p>
    <w:p>
      <w:pPr>
        <w:spacing w:after="120" w:line="276"/>
        <w:jc w:val="both"/>
      </w:pPr>
      <w:r>
        <w:t xml:space="preserve">Donde:</w:t>
      </w:r>
    </w:p>
    <w:p>
      <w:pPr>
        <w:pStyle w:val="ListParagraph"/>
        <w:numPr>
          <w:ilvl w:val="0"/>
          <w:numId w:val="2"/>
        </w:numPr>
        <w:spacing w:after="60" w:line="276"/>
        <w:jc w:val="both"/>
      </w:pPr>
      <w:r>
        <w:rPr>
          <w:b/>
          <w:bCs/>
        </w:rPr>
        <w:t xml:space="preserve">IS_total</w:t>
      </w:r>
      <w:r>
        <w:t xml:space="preserve"> = (P_ejecución_promedio − P_referencia) × Q_total es el implementation shortfall total de la jornada. El signo negativo indica que el agente es penalizado por costos altos y premiado por reducirlos.</w:t>
      </w:r>
    </w:p>
    <w:p>
      <w:pPr>
        <w:pStyle w:val="ListParagraph"/>
        <w:numPr>
          <w:ilvl w:val="0"/>
          <w:numId w:val="2"/>
        </w:numPr>
        <w:spacing w:after="60" w:line="276"/>
        <w:jc w:val="both"/>
      </w:pPr>
      <w:r>
        <w:rPr>
          <w:b/>
          <w:bCs/>
        </w:rPr>
        <w:t xml:space="preserve">P_referencia</w:t>
      </w:r>
      <w:r>
        <w:t xml:space="preserve">: precio mid en el momento de la decisión de inversión (arrival price), la línea base contra la cual se mide la calidad de ejecución.</w:t>
      </w:r>
    </w:p>
    <w:p>
      <w:pPr>
        <w:pStyle w:val="ListParagraph"/>
        <w:numPr>
          <w:ilvl w:val="0"/>
          <w:numId w:val="2"/>
        </w:numPr>
        <w:spacing w:after="60" w:line="276"/>
        <w:jc w:val="both"/>
      </w:pPr>
      <w:r>
        <w:rPr>
          <w:b/>
          <w:bCs/>
        </w:rPr>
        <w:t xml:space="preserve">max(0, Q_pendiente) × P_mid_cierre</w:t>
      </w:r>
      <w:r>
        <w:t xml:space="preserve">: penaliza el incumplimiento de la meta-orden al cierre de jornada. Si todas las acciones fueron ejecutadas, esta penalización es cero.</w:t>
      </w:r>
    </w:p>
    <w:p>
      <w:pPr>
        <w:pStyle w:val="ListParagraph"/>
        <w:numPr>
          <w:ilvl w:val="0"/>
          <w:numId w:val="2"/>
        </w:numPr>
        <w:spacing w:after="60" w:line="276"/>
        <w:jc w:val="both"/>
      </w:pPr>
      <w:r>
        <w:rPr>
          <w:b/>
          <w:bCs/>
        </w:rPr>
        <w:t xml:space="preserve">λ</w:t>
      </w:r>
      <w:r>
        <w:t xml:space="preserve">: hiperparámetro que pondera la urgencia de completar el inventario vs. minimizar el costo. Se calibra experimentalmente en el Título II.</w:t>
      </w:r>
    </w:p>
    <w:p>
      <w:pPr>
        <w:spacing w:after="120" w:line="276"/>
        <w:jc w:val="both"/>
      </w:pPr>
      <w:r>
        <w:t xml:space="preserve">El diseño de recompensa terminal (</w:t>
      </w:r>
      <w:r>
        <w:rPr>
          <w:i/>
          <w:iCs/>
        </w:rPr>
        <w:t xml:space="preserve">sparse</w:t>
      </w:r>
      <w:r>
        <w:t xml:space="preserve">) es consistente con Lin &amp; Beling (2020), quienes demostraron que la señal de fin de episodio produce políticas más estables que recompensas intermedias con IS parciales en mercados ruidosos.</w:t>
      </w:r>
    </w:p>
    <w:p>
      <w:pPr>
        <w:pStyle w:val="Heading4"/>
      </w:pPr>
      <w:r>
        <w:t xml:space="preserve">Recompensa de los Agentes Ejecutores (R_E)</w:t>
      </w:r>
    </w:p>
    <w:p>
      <w:pPr>
        <w:spacing w:after="120" w:line="276"/>
        <w:jc w:val="both"/>
      </w:pPr>
      <w:r>
        <w:t xml:space="preserve">Los Ejecutores reciben una </w:t>
      </w:r>
      <w:r>
        <w:rPr>
          <w:b/>
          <w:bCs/>
        </w:rPr>
        <w:t xml:space="preserve">recompensa densa</w:t>
      </w:r>
      <w:r>
        <w:t xml:space="preserve"> en cada paso de ejecución (cada 30 segundos):</w:t>
      </w:r>
    </w:p>
    <w:p>
      <w:pPr>
        <w:spacing w:after="120" w:line="276"/>
        <w:jc w:val="center"/>
      </w:pPr>
      <w:r>
        <w:rPr>
          <w:b/>
          <w:bCs/>
        </w:rPr>
        <w:t xml:space="preserve">R_E = (P_mid_t − P_ejecución_t) × q_ejecutado  −  β · σ²_precio × q_ejecutado</w:t>
      </w:r>
    </w:p>
    <w:p>
      <w:pPr>
        <w:spacing w:after="120" w:line="276"/>
        <w:jc w:val="both"/>
      </w:pPr>
      <w:r>
        <w:t xml:space="preserve">Cada componente incentiva un comportamiento específico:</w:t>
      </w:r>
    </w:p>
    <w:p>
      <w:pPr>
        <w:pStyle w:val="ListParagraph"/>
        <w:numPr>
          <w:ilvl w:val="0"/>
          <w:numId w:val="2"/>
        </w:numPr>
        <w:spacing w:after="60" w:line="276"/>
        <w:jc w:val="both"/>
      </w:pPr>
      <w:r>
        <w:rPr>
          <w:b/>
          <w:bCs/>
        </w:rPr>
        <w:t xml:space="preserve">(P_mid_t − P_ejecución_t) × q_ejecutado</w:t>
      </w:r>
      <w:r>
        <w:t xml:space="preserve">: captura directamente la reducción del slippage. Premia ejecutar por debajo del precio mid, es decir, aprovechar la liquidez favorable del LOB. Si el Ejecutor logra comprar más barato que el precio de referencia, recibe recompensa positiva.</w:t>
      </w:r>
    </w:p>
    <w:p>
      <w:pPr>
        <w:pStyle w:val="ListParagraph"/>
        <w:numPr>
          <w:ilvl w:val="0"/>
          <w:numId w:val="2"/>
        </w:numPr>
        <w:spacing w:after="60" w:line="276"/>
        <w:jc w:val="both"/>
      </w:pPr>
      <w:r>
        <w:rPr>
          <w:b/>
          <w:bCs/>
        </w:rPr>
        <w:t xml:space="preserve">β · σ²_precio × q_ejecutado</w:t>
      </w:r>
      <w:r>
        <w:t xml:space="preserve">: penalización por riesgo temporal. Es proporcional a la varianza del precio durante el intervalo, coherente con el marco de Almgren &amp; Chriss (2001): ejecutar lento reduce el impacto de mercado pero aumenta el riesgo de que el precio se mueva en contra.</w:t>
      </w:r>
    </w:p>
    <w:p>
      <w:pPr>
        <w:pStyle w:val="ListParagraph"/>
        <w:numPr>
          <w:ilvl w:val="0"/>
          <w:numId w:val="2"/>
        </w:numPr>
        <w:spacing w:after="60" w:line="276"/>
        <w:jc w:val="both"/>
      </w:pPr>
      <w:r>
        <w:rPr>
          <w:b/>
          <w:bCs/>
        </w:rPr>
        <w:t xml:space="preserve">β</w:t>
      </w:r>
      <w:r>
        <w:t xml:space="preserve">: coeficiente de aversión al riesgo. Controla el trade-off entre impacto de mercado y riesgo temporal. Se calibra experimentalmente.</w:t>
      </w:r>
    </w:p>
    <w:p>
      <w:pPr>
        <w:pStyle w:val="Heading4"/>
      </w:pPr>
      <w:r>
        <w:t xml:space="preserve">Función de Recompensa Conjunta y Flujo de Interacción</w:t>
      </w:r>
    </w:p>
    <w:p>
      <w:pPr>
        <w:spacing w:after="120" w:line="276"/>
        <w:jc w:val="both"/>
      </w:pPr>
      <w:r>
        <w:t xml:space="preserve">La siguiente tabla sintetiza la estructura completa de recompensas del sistema y su flujo de interacción: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4"/>
        <w:gridCol w:w="1162"/>
        <w:gridCol w:w="2804"/>
        <w:gridCol w:w="3966"/>
      </w:tblGrid>
      <w:tr>
        <w:trPr>
          <w:cantSplit/>
          <w:tblHeader/>
        </w:trPr>
        <w:tc>
          <w:tcPr>
            <w:tcW w:type="dxa" w:w="1094"/>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Componente</w:t>
            </w:r>
          </w:p>
        </w:tc>
        <w:tc>
          <w:tcPr>
            <w:tcW w:type="dxa" w:w="1162"/>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Tipo</w:t>
            </w:r>
          </w:p>
        </w:tc>
        <w:tc>
          <w:tcPr>
            <w:tcW w:type="dxa" w:w="2804"/>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Momento de evaluación</w:t>
            </w:r>
          </w:p>
        </w:tc>
        <w:tc>
          <w:tcPr>
            <w:tcW w:type="dxa" w:w="396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Objetivo que incentiva</w:t>
            </w:r>
          </w:p>
        </w:tc>
      </w:tr>
      <w:tr>
        <w:trPr>
          <w:cantSplit/>
          <w:tblHeader w:val="off"/>
        </w:trPr>
        <w:tc>
          <w:tcPr>
            <w:tcW w:type="dxa" w:w="109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R_M (Maestro)</w:t>
            </w:r>
          </w:p>
        </w:tc>
        <w:tc>
          <w:tcPr>
            <w:tcW w:type="dxa" w:w="116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Terminal / sparse</w:t>
            </w:r>
          </w:p>
        </w:tc>
        <w:tc>
          <w:tcPr>
            <w:tcW w:type="dxa" w:w="280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Al cierre de la jornada bursátil</w:t>
            </w:r>
          </w:p>
        </w:tc>
        <w:tc>
          <w:tcPr>
            <w:tcW w:type="dxa" w:w="396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Minimizar IS total y completar la meta-orden</w:t>
            </w:r>
          </w:p>
        </w:tc>
      </w:tr>
      <w:tr>
        <w:trPr>
          <w:cantSplit/>
          <w:tblHeader w:val="off"/>
        </w:trPr>
        <w:tc>
          <w:tcPr>
            <w:tcW w:type="dxa" w:w="109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R_E (Ejecutores)</w:t>
            </w:r>
          </w:p>
        </w:tc>
        <w:tc>
          <w:tcPr>
            <w:tcW w:type="dxa" w:w="1162"/>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Densa / por paso</w:t>
            </w:r>
          </w:p>
        </w:tc>
        <w:tc>
          <w:tcPr>
            <w:tcW w:type="dxa" w:w="280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Cada 30 segundos durante el slice</w:t>
            </w:r>
          </w:p>
        </w:tc>
        <w:tc>
          <w:tcPr>
            <w:tcW w:type="dxa" w:w="396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Capturar liquidez favorable y reducir slippage táctico</w:t>
            </w:r>
          </w:p>
        </w:tc>
      </w:tr>
      <w:tr>
        <w:trPr>
          <w:cantSplit/>
          <w:tblHeader w:val="off"/>
        </w:trPr>
        <w:tc>
          <w:tcPr>
            <w:tcW w:type="dxa" w:w="109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Penalización λ</w:t>
            </w:r>
          </w:p>
        </w:tc>
        <w:tc>
          <w:tcPr>
            <w:tcW w:type="dxa" w:w="1162"/>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Terminal</w:t>
            </w:r>
          </w:p>
        </w:tc>
        <w:tc>
          <w:tcPr>
            <w:tcW w:type="dxa" w:w="280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Al cierre de jornada (si Q_pendiente &gt; 0)</w:t>
            </w:r>
          </w:p>
        </w:tc>
        <w:tc>
          <w:tcPr>
            <w:tcW w:type="dxa" w:w="396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Garantizar el cumplimiento completo de la meta-orden</w:t>
            </w:r>
          </w:p>
        </w:tc>
      </w:tr>
      <w:tr>
        <w:trPr>
          <w:cantSplit/>
          <w:tblHeader w:val="off"/>
        </w:trPr>
        <w:tc>
          <w:tcPr>
            <w:tcW w:type="dxa" w:w="109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Penalización β</w:t>
            </w:r>
          </w:p>
        </w:tc>
        <w:tc>
          <w:tcPr>
            <w:tcW w:type="dxa" w:w="1162"/>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Por paso</w:t>
            </w:r>
          </w:p>
        </w:tc>
        <w:tc>
          <w:tcPr>
            <w:tcW w:type="dxa" w:w="280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Cada paso de ejecución del Ejecutor</w:t>
            </w:r>
          </w:p>
        </w:tc>
        <w:tc>
          <w:tcPr>
            <w:tcW w:type="dxa" w:w="396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Controlar el riesgo de precio en ventanas de baja liquidez</w:t>
            </w:r>
          </w:p>
        </w:tc>
      </w:tr>
    </w:tbl>
    <w:p>
      <w:pPr>
        <w:spacing w:after="100"/>
      </w:pPr>
    </w:p>
    <w:p>
      <w:pPr>
        <w:spacing w:after="120" w:line="276"/>
        <w:jc w:val="both"/>
      </w:pPr>
      <w:r>
        <w:t xml:space="preserve">El ciclo completo de interacción opera de la siguiente manera: el Maestro observa el estado macro, asigna un slice a los Ejecutores, estos operan sobre el LOB en tiempo real recibiendo recompensa densa por cada acción, y al finalizar la jornada el Maestro recibe su recompensa terminal. Ambos agentes actualizan sus políticas mediante PPO con sus respectivas funciones de recompensa, y el ciclo se repite con la siguiente jornada histórica del IPSA hasta convergencia.</w:t>
      </w:r>
    </w:p>
    <w:p>
      <w:pPr>
        <w:pStyle w:val="Heading2"/>
      </w:pPr>
      <w:r>
        <w:t xml:space="preserve">4.3 Datos de Entrenamiento: Fuentes Reales y Datos Sintéticos</w:t>
      </w:r>
    </w:p>
    <w:p>
      <w:pPr>
        <w:spacing w:after="120" w:line="276"/>
        <w:jc w:val="both"/>
      </w:pPr>
      <w:r>
        <w:t xml:space="preserve">El entrenamiento de los agentes inteligentes propuestos requiere datos históricos del mercado accionario chileno en distintos niveles de granularidad. Esta sección detalla las fuentes disponibles, sus características, sus limitaciones y la estrategia adoptada para cubrir los vacíos de datos mediante generación sintética.</w:t>
      </w:r>
    </w:p>
    <w:p>
      <w:pPr>
        <w:pStyle w:val="Heading3"/>
      </w:pPr>
      <w:r>
        <w:t xml:space="preserve">4.3.1 Nivel de granularidad requerido por el sistema</w:t>
      </w:r>
    </w:p>
    <w:p>
      <w:pPr>
        <w:spacing w:after="120" w:line="276"/>
        <w:jc w:val="both"/>
      </w:pPr>
      <w:r>
        <w:t xml:space="preserve">La arquitectura jerárquica del sistema impone requerimientos diferenciados según el agente:</w:t>
      </w:r>
    </w:p>
    <w:p>
      <w:pPr>
        <w:pStyle w:val="ListParagraph"/>
        <w:numPr>
          <w:ilvl w:val="0"/>
          <w:numId w:val="2"/>
        </w:numPr>
        <w:spacing w:after="60" w:line="276"/>
        <w:jc w:val="both"/>
      </w:pPr>
      <w:r>
        <w:t xml:space="preserve">Agente Maestro (horizonte de 30 minutos): requiere datos OHLCV (Open, High, Low, Close, Volume) intradiarios con resolución de entre 1 y 30 minutos. Este nivel de granularidad está ampliamente disponible para las acciones del IPSA.</w:t>
      </w:r>
    </w:p>
    <w:p>
      <w:pPr>
        <w:pStyle w:val="ListParagraph"/>
        <w:numPr>
          <w:ilvl w:val="0"/>
          <w:numId w:val="2"/>
        </w:numPr>
        <w:spacing w:after="60" w:line="276"/>
        <w:jc w:val="both"/>
      </w:pPr>
      <w:r>
        <w:t xml:space="preserve">Agentes Ejecutores (horizonte de 30 segundos): requieren datos de Nivel 2 del LOB (snapshots de los mejores 5 niveles bid/ask con sus volúmenes, spread instante a instante, tasa de llegada de órdenes). Este nivel es de disponibilidad limitada y costosa en el mercado chileno.</w:t>
      </w:r>
    </w:p>
    <w:p>
      <w:pPr>
        <w:spacing w:after="120" w:line="276"/>
        <w:jc w:val="both"/>
      </w:pPr>
      <w:r>
        <w:t xml:space="preserve">Esta distinción define dos vías paralelas de adquisición de datos: fuentes reales para el Maestro y generación sintética calibrada para los Ejecutores.</w:t>
      </w:r>
    </w:p>
    <w:p>
      <w:pPr>
        <w:pStyle w:val="Heading3"/>
      </w:pPr>
      <w:r>
        <w:t xml:space="preserve">4.3.2 Fuentes de Datos Reales</w:t>
      </w:r>
    </w:p>
    <w:p>
      <w:pPr>
        <w:pStyle w:val="Heading4"/>
      </w:pPr>
      <w:r>
        <w:t xml:space="preserve">a) Tienda Online de la Bolsa de Santiago (Fuente Primaria Oficial, es de Pago, se puede trabajar sin esta fuente)</w:t>
      </w:r>
    </w:p>
    <w:p>
      <w:pPr>
        <w:spacing w:after="120" w:line="276"/>
        <w:jc w:val="both"/>
      </w:pPr>
      <w:r>
        <w:t xml:space="preserve">La Bolsa de Comercio de Santiago dispone de una tienda en línea institucional que ofrece bases de datos históricas para descarga directa. Entre los productos disponibles más relevantes para el proyecto se encuentran:</w:t>
      </w:r>
    </w:p>
    <w:p>
      <w:pPr>
        <w:pStyle w:val="ListParagraph"/>
        <w:numPr>
          <w:ilvl w:val="0"/>
          <w:numId w:val="2"/>
        </w:numPr>
        <w:spacing w:after="60" w:line="276"/>
        <w:jc w:val="both"/>
      </w:pPr>
      <w:r>
        <w:t xml:space="preserve">Transacciones Diarias Acciones: registro consolidado de todas las transacciones de renta variable, incluye precio y volumen por operación. Precio referencial: 2,5 UF por base. Es la fuente más directa y oficial para reconstruir el perfil de volumen intradiario del IPSA.</w:t>
      </w:r>
    </w:p>
    <w:p>
      <w:pPr>
        <w:pStyle w:val="ListParagraph"/>
        <w:numPr>
          <w:ilvl w:val="0"/>
          <w:numId w:val="2"/>
        </w:numPr>
        <w:spacing w:after="60" w:line="276"/>
        <w:jc w:val="both"/>
      </w:pPr>
      <w:r>
        <w:t xml:space="preserve">IPSA/IGPA Índices: series históricas de los índices bursátiles chilenos. Precio referencial: 1,5 UF por base.</w:t>
      </w:r>
    </w:p>
    <w:p>
      <w:pPr>
        <w:pStyle w:val="ListParagraph"/>
        <w:numPr>
          <w:ilvl w:val="0"/>
          <w:numId w:val="2"/>
        </w:numPr>
        <w:spacing w:after="60" w:line="276"/>
        <w:jc w:val="both"/>
      </w:pPr>
      <w:r>
        <w:t xml:space="preserve">Precios Metastock: información consolidada diaria por nemotécnico compatible con software de análisis técnico. Precio referencial: 2,5 UF por base.</w:t>
      </w:r>
    </w:p>
    <w:p>
      <w:pPr>
        <w:spacing w:after="120" w:line="276"/>
        <w:jc w:val="both"/>
      </w:pPr>
      <w:r>
        <w:t xml:space="preserve">Enlace oficial:</w:t>
      </w:r>
    </w:p>
    <w:p>
      <w:pPr>
        <w:spacing w:after="120" w:line="276"/>
        <w:jc w:val="left"/>
      </w:pPr>
      <w:hyperlink w:history="1" r:id="rIdmabplqok7hb0tmyax0ikv">
        <w:r>
          <w:rPr>
            <w:color w:val="0563C1"/>
            <w:u w:val="single"/>
          </w:rPr>
          <w:t xml:space="preserve">https://tiendaonline.bolsadesantiago.com/VentasOnline/bbdd</w:t>
        </w:r>
      </w:hyperlink>
    </w:p>
    <w:p>
      <w:pPr>
        <w:spacing w:after="120" w:line="276"/>
        <w:jc w:val="both"/>
      </w:pPr>
      <w:r>
        <w:t xml:space="preserve">Limitación: los datos ofrecidos corresponden a resolución diaria o a resúmenes de transacciones, sin profundidad de LOB (Nivel 2). Son suficientes para el entrenamiento del Agente Maestro y para la calibración del simulador, pero no para los Agentes Ejecutores en su escala táctica de 30 segundos.</w:t>
      </w:r>
    </w:p>
    <w:p>
      <w:pPr>
        <w:pStyle w:val="Heading4"/>
      </w:pPr>
      <w:r>
        <w:t xml:space="preserve">b) Yahoo Finance vía yfinance (Python) — Libre y Gratuita</w:t>
      </w:r>
    </w:p>
    <w:p>
      <w:pPr>
        <w:spacing w:after="120" w:line="276"/>
        <w:jc w:val="both"/>
      </w:pPr>
      <w:r>
        <w:t xml:space="preserve">La librería yfinance de Python permite descargar datos históricos OHLCV para las acciones del IPSA con resolución de hasta 1 minuto, disponibles de forma gratuita para uso académico. Los tickers de las acciones chilenas en Yahoo Finance siguen el formato NEMOTÉCNICO.SN (por ejemplo, FALABELLA.SN, SQM-B.SN, COPEC.SN).</w:t>
      </w:r>
    </w:p>
    <w:p>
      <w:pPr>
        <w:pStyle w:val="ListParagraph"/>
        <w:numPr>
          <w:ilvl w:val="0"/>
          <w:numId w:val="2"/>
        </w:numPr>
        <w:spacing w:after="60" w:line="276"/>
        <w:jc w:val="both"/>
      </w:pPr>
      <w:r>
        <w:t xml:space="preserve">Resolución disponible: 1 minuto (últimos 7 días), 2 minutos, 5 minutos, 15 minutos, 30 minutos, 60 minutos y datos diarios históricos.</w:t>
      </w:r>
    </w:p>
    <w:p>
      <w:pPr>
        <w:pStyle w:val="ListParagraph"/>
        <w:numPr>
          <w:ilvl w:val="0"/>
          <w:numId w:val="2"/>
        </w:numPr>
        <w:spacing w:after="60" w:line="276"/>
        <w:jc w:val="both"/>
      </w:pPr>
      <w:r>
        <w:t xml:space="preserve">Cobertura histórica intradiaria: aproximadamente 730 días para intervalos inferiores a 1 día.</w:t>
      </w:r>
    </w:p>
    <w:p>
      <w:pPr>
        <w:pStyle w:val="ListParagraph"/>
        <w:numPr>
          <w:ilvl w:val="0"/>
          <w:numId w:val="2"/>
        </w:numPr>
        <w:spacing w:after="60" w:line="276"/>
        <w:jc w:val="both"/>
      </w:pPr>
      <w:r>
        <w:t xml:space="preserve">Uso: entrenamiento del Agente Maestro (resolución 5–30 min), validación de patrones intradiarios del IPSA, calibración del simulador.</w:t>
      </w:r>
    </w:p>
    <w:p>
      <w:pPr>
        <w:spacing w:after="120" w:line="276"/>
        <w:jc w:val="both"/>
      </w:pPr>
      <w:r>
        <w:t xml:space="preserve">Código de ejemplo para descarga de acciones del IPSA:</w:t>
      </w:r>
    </w:p>
    <w:p>
      <w:pPr>
        <w:spacing w:after="120" w:line="276"/>
        <w:jc w:val="left"/>
      </w:pPr>
      <w:r>
        <w:t xml:space="preserve">import yfinance as yftickers = ["FALABELLA.SN","SQM-B.SN","COPEC.SN","BSANTANDER.SN"]df = yf.download(tickers, interval="5m", period="60d")</w:t>
      </w:r>
    </w:p>
    <w:p>
      <w:pPr>
        <w:spacing w:after="120" w:line="276"/>
        <w:jc w:val="both"/>
      </w:pPr>
      <w:r>
        <w:t xml:space="preserve">Enlace oficial:</w:t>
      </w:r>
    </w:p>
    <w:p>
      <w:pPr>
        <w:spacing w:after="120" w:line="276"/>
        <w:jc w:val="left"/>
      </w:pPr>
      <w:hyperlink w:history="1" r:id="rIdaupwar-hzzijdvtmuhth2">
        <w:r>
          <w:rPr>
            <w:color w:val="0563C1"/>
            <w:u w:val="single"/>
          </w:rPr>
          <w:t xml:space="preserve">https://pypi.org/project/yfinance/</w:t>
        </w:r>
      </w:hyperlink>
    </w:p>
    <w:p>
      <w:pPr>
        <w:spacing w:after="120" w:line="276"/>
        <w:jc w:val="both"/>
      </w:pPr>
      <w:r>
        <w:t xml:space="preserve">Repositorio con soporte explícito para IPSA:</w:t>
      </w:r>
    </w:p>
    <w:p>
      <w:pPr>
        <w:spacing w:after="120" w:line="276"/>
        <w:jc w:val="left"/>
      </w:pPr>
      <w:hyperlink w:history="1" r:id="rIdsucuaj2uffdwaxciqfofi">
        <w:r>
          <w:rPr>
            <w:color w:val="0563C1"/>
            <w:u w:val="single"/>
          </w:rPr>
          <w:t xml:space="preserve">https://github.com/Reckziegel/YahooTickers</w:t>
        </w:r>
      </w:hyperlink>
    </w:p>
    <w:p>
      <w:pPr>
        <w:pStyle w:val="Heading4"/>
      </w:pPr>
      <w:r>
        <w:t xml:space="preserve">c) Investing.com — Datos Históricos Descargables</w:t>
      </w:r>
    </w:p>
    <w:p>
      <w:pPr>
        <w:spacing w:after="120" w:line="276"/>
        <w:jc w:val="both"/>
      </w:pPr>
      <w:r>
        <w:t xml:space="preserve">Investing.com ofrece datos históricos del índice S&amp;P CLX IPSA (símbolo SPIPSA) y de las acciones individuales de la Bolsa de Santiago, con posibilidad de descarga manual en formato CSV. Cubre datos diarios, semanales y mensuales.</w:t>
      </w:r>
    </w:p>
    <w:p>
      <w:pPr>
        <w:spacing w:after="120" w:line="276"/>
        <w:jc w:val="both"/>
      </w:pPr>
      <w:r>
        <w:t xml:space="preserve">Enlace directo al histórico del IPSA:</w:t>
      </w:r>
    </w:p>
    <w:p>
      <w:pPr>
        <w:spacing w:after="120" w:line="276"/>
        <w:jc w:val="left"/>
      </w:pPr>
      <w:hyperlink w:history="1" r:id="rIdz4irb6k7uldx5tfo_t0kb">
        <w:r>
          <w:rPr>
            <w:color w:val="0563C1"/>
            <w:u w:val="single"/>
          </w:rPr>
          <w:t xml:space="preserve">https://es.investing.com/indices/ipsa-historical-data</w:t>
        </w:r>
      </w:hyperlink>
    </w:p>
    <w:p>
      <w:pPr>
        <w:spacing w:after="120" w:line="276"/>
        <w:jc w:val="both"/>
      </w:pPr>
      <w:r>
        <w:t xml:space="preserve">Limitación: resolución máxima diaria (sin datos intradiarios), adecuado para análisis de contexto macro y validación de series largas.</w:t>
      </w:r>
    </w:p>
    <w:p>
      <w:pPr>
        <w:pStyle w:val="Heading4"/>
      </w:pPr>
      <w:r>
        <w:t xml:space="preserve">d) Banco Central de Chile — Series Estadísticas (IPSA mensual/diario)</w:t>
      </w:r>
    </w:p>
    <w:p>
      <w:pPr>
        <w:spacing w:after="120" w:line="276"/>
        <w:jc w:val="both"/>
      </w:pPr>
      <w:r>
        <w:t xml:space="preserve">El Banco Central de Chile publica series estadísticas del IPSA desde 2003 como parte de su Base de Datos Estadísticos (BDE). Estas series son de acceso completamente libre y permiten contextualizar el comportamiento histórico del índice ante eventos macroeconómicos.</w:t>
      </w:r>
    </w:p>
    <w:p>
      <w:pPr>
        <w:spacing w:after="120" w:line="276"/>
        <w:jc w:val="both"/>
      </w:pPr>
      <w:r>
        <w:t xml:space="preserve">Enlace:</w:t>
      </w:r>
    </w:p>
    <w:p>
      <w:pPr>
        <w:spacing w:after="120" w:line="276"/>
        <w:jc w:val="left"/>
      </w:pPr>
      <w:hyperlink w:history="1" r:id="rIdadj_amus-j1pwnakqylyc">
        <w:r>
          <w:rPr>
            <w:color w:val="0563C1"/>
            <w:u w:val="single"/>
          </w:rPr>
          <w:t xml:space="preserve">https://si3.bcentral.cl/Siete/ES/Siete/Cuadro/CAP_ESTADIST_MACRO/MN_EST_MACRO_IV/PEM_INDBUR/PEM_INDBUR</w:t>
        </w:r>
      </w:hyperlink>
    </w:p>
    <w:p>
      <w:pPr>
        <w:pStyle w:val="Heading4"/>
      </w:pPr>
      <w:r>
        <w:t xml:space="preserve">e) ICE Data Services — Datos de Nivel 1 y 2 del LOB (Opción Comercial, es de Pago, se puede trabajar sin esta fuente)</w:t>
      </w:r>
    </w:p>
    <w:p>
      <w:pPr>
        <w:spacing w:after="120" w:line="276"/>
        <w:jc w:val="both"/>
      </w:pPr>
      <w:r>
        <w:t xml:space="preserve">Intercontinental Exchange (ICE) provee datos de streaming y datos históricos para la Bolsa de Santiago (BCS), incluyendo Level 1 y Level 2 de pricing a través de su ICE Consolidated Feed. Es la única fuente identificada que ofrece datos de profundidad de libro (LOB Nivel 2) para el mercado chileno, pero requiere suscripción comercial.</w:t>
      </w:r>
    </w:p>
    <w:p>
      <w:pPr>
        <w:spacing w:after="120" w:line="276"/>
        <w:jc w:val="both"/>
      </w:pPr>
      <w:r>
        <w:t xml:space="preserve">Enlace:</w:t>
      </w:r>
    </w:p>
    <w:p>
      <w:pPr>
        <w:spacing w:after="120" w:line="276"/>
        <w:jc w:val="left"/>
      </w:pPr>
      <w:hyperlink w:history="1" r:id="rId1hmk0sn74h4tocarokgeo">
        <w:r>
          <w:rPr>
            <w:color w:val="0563C1"/>
            <w:u w:val="single"/>
          </w:rPr>
          <w:t xml:space="preserve">https://developer.ice.com/fixed-income-data-services/catalog/santiago-stock-exchange-bcs</w:t>
        </w:r>
      </w:hyperlink>
    </w:p>
    <w:p>
      <w:pPr>
        <w:spacing w:after="120" w:line="276"/>
        <w:jc w:val="both"/>
      </w:pPr>
      <w:r>
        <w:t xml:space="preserve">Alternativa académica: el acceso puede solicitarse a través de convenios institucionales de la UTEM con proveedores de datos financieros (Bloomberg Terminal / Refinitiv Eikon), de existir disponibilidad en la biblioteca universitaria.</w:t>
      </w:r>
    </w:p>
    <w:p>
      <w:pPr>
        <w:pStyle w:val="Heading3"/>
      </w:pPr>
      <w:r>
        <w:t xml:space="preserve">4.3.3 Estrategia ante la Escasez de Datos de Nivel 2: Generación Sintética</w:t>
      </w:r>
    </w:p>
    <w:p>
      <w:pPr>
        <w:spacing w:after="120" w:line="276"/>
        <w:jc w:val="both"/>
      </w:pPr>
      <w:r>
        <w:t xml:space="preserve">Dado que los datos de Nivel 2 del LOB del mercado chileno son de acceso restringido o costoso, el proyecto adopta una estrategia de datos sintéticos calibrados como alternativa técnica válida y documentada en la literatura académica. Esta aproximación es coherente con los trabajos de Nevmyvaka et al. (2006), Karpe et al. (2020) y Byrd et al. (2020), quienes entrenaron agentes de ejecución en entornos simulados calibrados con datos reales ante la imposibilidad de acceder a LOB completos.</w:t>
      </w:r>
    </w:p>
    <w:p>
      <w:pPr>
        <w:pStyle w:val="Heading4"/>
      </w:pPr>
      <w:r>
        <w:t xml:space="preserve">a) ABIDES / ABIDES-Gym (JP Morgan Chase — Open Source)</w:t>
      </w:r>
    </w:p>
    <w:p>
      <w:pPr>
        <w:spacing w:after="120" w:line="276"/>
        <w:jc w:val="both"/>
      </w:pPr>
      <w:r>
        <w:t xml:space="preserve">ABIDES (Agent-Based Interactive Discrete Event Simulation) es el simulador de mercado de referencia en la literatura de RL para trading. Desarrollado originalmente por Byrd et al. (2020) y actualmente mantenido por JP Morgan Chase como proyecto open source, modela un libro de órdenes completo con agentes heterogéneos (market makers, value agents, momentum agents, noise agents) que interactúan mediante los protocolos ITCH/OUCH de NASDAQ.</w:t>
      </w:r>
    </w:p>
    <w:p>
      <w:pPr>
        <w:spacing w:after="120" w:line="276"/>
        <w:jc w:val="both"/>
      </w:pPr>
      <w:r>
        <w:t xml:space="preserve">Su extensión ABIDES-Gym provee una interfaz compatible con OpenAI Gym/Gymnasium, lo que permite integrarlo directamente con el entorno de entrenamiento PPO del proyecto. Esta herramienta puede calibrarse con los parámetros estadísticos del IPSA (tasas de llegada de órdenes, spread promedio, profundidad de libro) extraídos de los datos históricos disponibles.</w:t>
      </w:r>
    </w:p>
    <w:p>
      <w:pPr>
        <w:pStyle w:val="ListParagraph"/>
        <w:numPr>
          <w:ilvl w:val="0"/>
          <w:numId w:val="2"/>
        </w:numPr>
        <w:spacing w:after="60" w:line="276"/>
        <w:jc w:val="both"/>
      </w:pPr>
      <w:r>
        <w:t xml:space="preserve">Configuración RMSC04 disponible: 1 Exchange Agent, 2 Market Maker Agents, 102 Value Agents, 12 Momentum Agents, 1000 Noise Agents.</w:t>
      </w:r>
    </w:p>
    <w:p>
      <w:pPr>
        <w:pStyle w:val="ListParagraph"/>
        <w:numPr>
          <w:ilvl w:val="0"/>
          <w:numId w:val="2"/>
        </w:numPr>
        <w:spacing w:after="60" w:line="276"/>
        <w:jc w:val="both"/>
      </w:pPr>
      <w:r>
        <w:t xml:space="preserve">Interfaz Gym: 2 entornos listos para uso, con posibilidad de construcción de entornos personalizados.</w:t>
      </w:r>
    </w:p>
    <w:p>
      <w:pPr>
        <w:pStyle w:val="ListParagraph"/>
        <w:numPr>
          <w:ilvl w:val="0"/>
          <w:numId w:val="2"/>
        </w:numPr>
        <w:spacing w:after="60" w:line="276"/>
        <w:jc w:val="both"/>
      </w:pPr>
      <w:r>
        <w:t xml:space="preserve">Licencia: BSD 3-Clause (libre para uso académico).</w:t>
      </w:r>
    </w:p>
    <w:p>
      <w:pPr>
        <w:spacing w:after="120" w:line="276"/>
        <w:jc w:val="both"/>
      </w:pPr>
      <w:r>
        <w:t xml:space="preserve">Repositorio oficial:</w:t>
      </w:r>
    </w:p>
    <w:p>
      <w:pPr>
        <w:spacing w:after="120" w:line="276"/>
        <w:jc w:val="left"/>
      </w:pPr>
      <w:hyperlink w:history="1" r:id="rIdbeqa5wo8bea6mff_avkuq">
        <w:r>
          <w:rPr>
            <w:color w:val="0563C1"/>
            <w:u w:val="single"/>
          </w:rPr>
          <w:t xml:space="preserve">https://github.com/jpmorganchase/abides-jpmc-public</w:t>
        </w:r>
      </w:hyperlink>
    </w:p>
    <w:p>
      <w:pPr>
        <w:pStyle w:val="Heading4"/>
      </w:pPr>
      <w:r>
        <w:t xml:space="preserve">b) TRADES-LOB — Dataset Sintético Libre (Tesla/Intel, 2 días)</w:t>
      </w:r>
    </w:p>
    <w:p>
      <w:pPr>
        <w:spacing w:after="120" w:line="276"/>
        <w:jc w:val="both"/>
      </w:pPr>
      <w:r>
        <w:t xml:space="preserve">El proyecto DeepMarket (Berti et al., 2025) publica TRADES-LOB, un dataset sintético de LOB generado mediante modelos de difusión probabilista (DDPM) calibrado sobre datos reales de LOBSTER para Tesla (TSLA) e Intel (INTC). El dataset consta de 265.986 filas con 50 columnas por fila, incluyendo los primeros 10 niveles del LOB (bid/ask) con precio y volumen, además de métricas derivadas como mid-price, spread, OBI y VWAP.</w:t>
      </w:r>
    </w:p>
    <w:p>
      <w:pPr>
        <w:spacing w:after="120" w:line="276"/>
        <w:jc w:val="both"/>
      </w:pPr>
      <w:r>
        <w:t xml:space="preserve">Aunque no corresponde al mercado chileno, proporciona un punto de partida estructural para el formato de datos y permite validar la arquitectura del simulador antes de la calibración con datos del IPSA.</w:t>
      </w:r>
    </w:p>
    <w:p>
      <w:pPr>
        <w:spacing w:after="120" w:line="276"/>
        <w:jc w:val="both"/>
      </w:pPr>
      <w:r>
        <w:t xml:space="preserve">Repositorio con dataset:</w:t>
      </w:r>
    </w:p>
    <w:p>
      <w:pPr>
        <w:spacing w:after="120" w:line="276"/>
        <w:jc w:val="left"/>
      </w:pPr>
      <w:hyperlink w:history="1" r:id="rIdbh3o4taxzmun5ealgqjoq">
        <w:r>
          <w:rPr>
            <w:color w:val="0563C1"/>
            <w:u w:val="single"/>
          </w:rPr>
          <w:t xml:space="preserve">https://github.com/LeonardoBerti00/DeepMarket</w:t>
        </w:r>
      </w:hyperlink>
    </w:p>
    <w:p>
      <w:pPr>
        <w:pStyle w:val="Heading4"/>
      </w:pPr>
      <w:r>
        <w:t xml:space="preserve">c) Modelo de Poisson para Generación de Órdenes</w:t>
      </w:r>
    </w:p>
    <w:p>
      <w:pPr>
        <w:spacing w:after="120" w:line="276"/>
        <w:jc w:val="both"/>
      </w:pPr>
      <w:r>
        <w:t xml:space="preserve">Como alternativa más liviana, el proyecto puede implementar un simulador de LOB basado en el modelo de llegada de órdenes de Poisson (Cont, Stoikov &amp; Talreja, 2010). Este modelo describe la dinámica del libro de órdenes como un proceso estocástico donde las órdenes límite de compra, venta y cancelación llegan según tasas de Poisson λ+, λ−, θ calibradas empíricamente.</w:t>
      </w:r>
    </w:p>
    <w:p>
      <w:pPr>
        <w:spacing w:after="120" w:line="276"/>
        <w:jc w:val="both"/>
      </w:pPr>
      <w:r>
        <w:t xml:space="preserve">Los parámetros del modelo pueden estimarse directamente desde los datos históricos de la Bolsa de Santiago disponibles (Transacciones Diarias Acciones), permitiendo que el simulador reproduzca distribuciones estadísticas consistentes con el IPSA: spread promedio por tramo horario, perfil de volumen intradiario y volatilidad típica de las acciones del índice.</w:t>
      </w:r>
    </w:p>
    <w:p>
      <w:pPr>
        <w:spacing w:after="120" w:line="276"/>
        <w:jc w:val="both"/>
      </w:pPr>
      <w:r>
        <w:t xml:space="preserve">Ventaja respecto a ABIDES: menor complejidad computacional, más fácil de calibrar con datos escasos y completamente implementable en Python con NumPy y SciPy.</w:t>
      </w:r>
    </w:p>
    <w:p>
      <w:pPr>
        <w:pStyle w:val="Heading3"/>
      </w:pPr>
      <w:r>
        <w:t xml:space="preserve">4.3.4 Plan de Adquisición y Uso de Datos</w:t>
      </w:r>
    </w:p>
    <w:p>
      <w:pPr>
        <w:spacing w:after="120" w:line="276"/>
        <w:jc w:val="both"/>
      </w:pPr>
      <w:r>
        <w:t xml:space="preserve">La estrategia de datos del proyecto sigue un orden de prioridad que combina fuentes reales para el Agente Maestro y datos sintéticos calibrados para los Agentes Ejecutores, garantizando que el sistema pueda avanzar independientemente de la disponibilidad de datos de Nivel 2:</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36"/>
        <w:gridCol w:w="1436"/>
        <w:gridCol w:w="1641"/>
        <w:gridCol w:w="1504"/>
        <w:gridCol w:w="1709"/>
      </w:tblGrid>
      <w:tr>
        <w:trPr>
          <w:cantSplit/>
          <w:tblHeader/>
        </w:trPr>
        <w:tc>
          <w:tcPr>
            <w:tcW w:type="dxa" w:w="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Prioridad</w:t>
            </w:r>
          </w:p>
        </w:tc>
        <w:tc>
          <w:tcPr>
            <w:tcW w:type="dxa" w:w="183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Fuente</w:t>
            </w:r>
          </w:p>
        </w:tc>
        <w:tc>
          <w:tcPr>
            <w:tcW w:type="dxa" w:w="143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Tipo</w:t>
            </w:r>
          </w:p>
        </w:tc>
        <w:tc>
          <w:tcPr>
            <w:tcW w:type="dxa" w:w="1641"/>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Agente</w:t>
            </w:r>
          </w:p>
        </w:tc>
        <w:tc>
          <w:tcPr>
            <w:tcW w:type="dxa" w:w="1504"/>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Granularidad</w:t>
            </w:r>
          </w:p>
        </w:tc>
        <w:tc>
          <w:tcPr>
            <w:tcW w:type="dxa" w:w="1709"/>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Costo</w:t>
            </w:r>
          </w:p>
        </w:tc>
      </w:tr>
      <w:tr>
        <w:trPr>
          <w:cantSplit/>
          <w:tblHeader w:val="off"/>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1</w:t>
            </w:r>
          </w:p>
        </w:tc>
        <w:tc>
          <w:tcPr>
            <w:tcW w:type="dxa" w:w="18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Tienda Online Bolsa de Santiago</w:t>
            </w:r>
          </w:p>
        </w:tc>
        <w:tc>
          <w:tcPr>
            <w:tcW w:type="dxa" w:w="14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Real / Oficial</w:t>
            </w:r>
          </w:p>
        </w:tc>
        <w:tc>
          <w:tcPr>
            <w:tcW w:type="dxa" w:w="1641"/>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Maestro + Calibración</w:t>
            </w:r>
          </w:p>
        </w:tc>
        <w:tc>
          <w:tcPr>
            <w:tcW w:type="dxa" w:w="150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Diario / Transacciones</w:t>
            </w:r>
          </w:p>
        </w:tc>
        <w:tc>
          <w:tcPr>
            <w:tcW w:type="dxa" w:w="170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~2,5 UF por base</w:t>
            </w:r>
          </w:p>
        </w:tc>
      </w:tr>
      <w:tr>
        <w:trPr>
          <w:cantSplit/>
          <w:tblHeader w:val="off"/>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2</w:t>
            </w:r>
          </w:p>
        </w:tc>
        <w:tc>
          <w:tcPr>
            <w:tcW w:type="dxa" w:w="183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Yahoo Finance (yfinance)</w:t>
            </w:r>
          </w:p>
        </w:tc>
        <w:tc>
          <w:tcPr>
            <w:tcW w:type="dxa" w:w="143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Real / Libre</w:t>
            </w:r>
          </w:p>
        </w:tc>
        <w:tc>
          <w:tcPr>
            <w:tcW w:type="dxa" w:w="1641"/>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Maestro (entrenamiento)</w:t>
            </w:r>
          </w:p>
        </w:tc>
        <w:tc>
          <w:tcPr>
            <w:tcW w:type="dxa" w:w="150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1–30 min</w:t>
            </w:r>
          </w:p>
        </w:tc>
        <w:tc>
          <w:tcPr>
            <w:tcW w:type="dxa" w:w="170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Gratuito</w:t>
            </w:r>
          </w:p>
        </w:tc>
      </w:tr>
      <w:tr>
        <w:trPr>
          <w:cantSplit/>
          <w:tblHeader w:val="off"/>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3</w:t>
            </w:r>
          </w:p>
        </w:tc>
        <w:tc>
          <w:tcPr>
            <w:tcW w:type="dxa" w:w="18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Investing.com</w:t>
            </w:r>
          </w:p>
        </w:tc>
        <w:tc>
          <w:tcPr>
            <w:tcW w:type="dxa" w:w="14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Real / Libre</w:t>
            </w:r>
          </w:p>
        </w:tc>
        <w:tc>
          <w:tcPr>
            <w:tcW w:type="dxa" w:w="1641"/>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Contexto macro</w:t>
            </w:r>
          </w:p>
        </w:tc>
        <w:tc>
          <w:tcPr>
            <w:tcW w:type="dxa" w:w="150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Diario</w:t>
            </w:r>
          </w:p>
        </w:tc>
        <w:tc>
          <w:tcPr>
            <w:tcW w:type="dxa" w:w="170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Gratuito</w:t>
            </w:r>
          </w:p>
        </w:tc>
      </w:tr>
      <w:tr>
        <w:trPr>
          <w:cantSplit/>
          <w:tblHeader w:val="off"/>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4</w:t>
            </w:r>
          </w:p>
        </w:tc>
        <w:tc>
          <w:tcPr>
            <w:tcW w:type="dxa" w:w="183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LOB Sintético (ABIDES)</w:t>
            </w:r>
          </w:p>
        </w:tc>
        <w:tc>
          <w:tcPr>
            <w:tcW w:type="dxa" w:w="143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Sintético calibrado</w:t>
            </w:r>
          </w:p>
        </w:tc>
        <w:tc>
          <w:tcPr>
            <w:tcW w:type="dxa" w:w="1641"/>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Ejecutores</w:t>
            </w:r>
          </w:p>
        </w:tc>
        <w:tc>
          <w:tcPr>
            <w:tcW w:type="dxa" w:w="150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Tick / 30 seg</w:t>
            </w:r>
          </w:p>
        </w:tc>
        <w:tc>
          <w:tcPr>
            <w:tcW w:type="dxa" w:w="170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Gratuito (open source)</w:t>
            </w:r>
          </w:p>
        </w:tc>
      </w:tr>
      <w:tr>
        <w:trPr>
          <w:cantSplit/>
          <w:tblHeader w:val="off"/>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5</w:t>
            </w:r>
          </w:p>
        </w:tc>
        <w:tc>
          <w:tcPr>
            <w:tcW w:type="dxa" w:w="18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TRADES-LOB</w:t>
            </w:r>
          </w:p>
        </w:tc>
        <w:tc>
          <w:tcPr>
            <w:tcW w:type="dxa" w:w="14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Sintético estructural</w:t>
            </w:r>
          </w:p>
        </w:tc>
        <w:tc>
          <w:tcPr>
            <w:tcW w:type="dxa" w:w="1641"/>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Validación arquitectura</w:t>
            </w:r>
          </w:p>
        </w:tc>
        <w:tc>
          <w:tcPr>
            <w:tcW w:type="dxa" w:w="150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Tick-by-tick</w:t>
            </w:r>
          </w:p>
        </w:tc>
        <w:tc>
          <w:tcPr>
            <w:tcW w:type="dxa" w:w="170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Gratuito</w:t>
            </w:r>
          </w:p>
        </w:tc>
      </w:tr>
      <w:tr>
        <w:trPr>
          <w:cantSplit/>
          <w:tblHeader w:val="off"/>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6</w:t>
            </w:r>
          </w:p>
        </w:tc>
        <w:tc>
          <w:tcPr>
            <w:tcW w:type="dxa" w:w="183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Modelo de Poisson</w:t>
            </w:r>
          </w:p>
        </w:tc>
        <w:tc>
          <w:tcPr>
            <w:tcW w:type="dxa" w:w="143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Sintético paramétrico</w:t>
            </w:r>
          </w:p>
        </w:tc>
        <w:tc>
          <w:tcPr>
            <w:tcW w:type="dxa" w:w="1641"/>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Ejecutores (alternativa)</w:t>
            </w:r>
          </w:p>
        </w:tc>
        <w:tc>
          <w:tcPr>
            <w:tcW w:type="dxa" w:w="150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30 seg</w:t>
            </w:r>
          </w:p>
        </w:tc>
        <w:tc>
          <w:tcPr>
            <w:tcW w:type="dxa" w:w="1709"/>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Implementación propia</w:t>
            </w:r>
          </w:p>
        </w:tc>
      </w:tr>
      <w:tr>
        <w:trPr>
          <w:cantSplit/>
          <w:tblHeader w:val="off"/>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7</w:t>
            </w:r>
          </w:p>
        </w:tc>
        <w:tc>
          <w:tcPr>
            <w:tcW w:type="dxa" w:w="18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ICE / Bloomberg / Refinitiv</w:t>
            </w:r>
          </w:p>
        </w:tc>
        <w:tc>
          <w:tcPr>
            <w:tcW w:type="dxa" w:w="143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Real / Nivel 2</w:t>
            </w:r>
          </w:p>
        </w:tc>
        <w:tc>
          <w:tcPr>
            <w:tcW w:type="dxa" w:w="1641"/>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Ejecutores + validación</w:t>
            </w:r>
          </w:p>
        </w:tc>
        <w:tc>
          <w:tcPr>
            <w:tcW w:type="dxa" w:w="150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Tick-by-tick</w:t>
            </w:r>
          </w:p>
        </w:tc>
        <w:tc>
          <w:tcPr>
            <w:tcW w:type="dxa" w:w="1709"/>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Comercial / Convenio UTEM</w:t>
            </w:r>
          </w:p>
        </w:tc>
      </w:tr>
    </w:tbl>
    <w:p>
      <w:pPr>
        <w:spacing w:after="100"/>
      </w:pPr>
    </w:p>
    <w:p>
      <w:pPr>
        <w:spacing w:after="120" w:line="276"/>
        <w:jc w:val="center"/>
      </w:pPr>
      <w:r>
        <w:rPr>
          <w:i/>
          <w:iCs/>
        </w:rPr>
        <w:t xml:space="preserve">Tabla 4.3.1: Plan de adquisición y uso de datos por prioridad y agente. Elaboración propia.</w:t>
      </w:r>
    </w:p>
    <w:p>
      <w:pPr>
        <w:pStyle w:val="Heading4"/>
      </w:pPr>
      <w:r>
        <w:t xml:space="preserve">Flujo de adquisición propuesto</w:t>
      </w:r>
    </w:p>
    <w:p>
      <w:pPr>
        <w:spacing w:after="120" w:line="276"/>
        <w:jc w:val="both"/>
      </w:pPr>
      <w:r>
        <w:t xml:space="preserve">El flujo de trabajo para la adquisición y uso de datos será el siguiente:</w:t>
      </w:r>
    </w:p>
    <w:p>
      <w:pPr>
        <w:pStyle w:val="ListParagraph"/>
        <w:numPr>
          <w:ilvl w:val="0"/>
          <w:numId w:val="2"/>
        </w:numPr>
        <w:spacing w:after="60" w:line="276"/>
        <w:jc w:val="both"/>
      </w:pPr>
      <w:r>
        <w:t xml:space="preserve">Etapa 1 — Maestro (Semanas 1–2 del Hito 5): Descargar datos OHLCV de las 30 acciones del IPSA vía yfinance (resolución 5 min, 2 años). Complementar con las bases de Transacciones Diarias Acciones de la Tienda Online de la Bolsa de Santiago para calibrar los perfiles de volumen intradiario.</w:t>
      </w:r>
    </w:p>
    <w:p>
      <w:pPr>
        <w:pStyle w:val="ListParagraph"/>
        <w:numPr>
          <w:ilvl w:val="0"/>
          <w:numId w:val="2"/>
        </w:numPr>
        <w:spacing w:after="60" w:line="276"/>
        <w:jc w:val="both"/>
      </w:pPr>
      <w:r>
        <w:t xml:space="preserve">Etapa 2 — Calibración del simulador (Semanas 2–3): Usar los datos de volumen y spread históricos para estimar los parámetros del modelo de Poisson (tasas de llegada λ+ y λ−) por tramo horario (apertura, media jornada, cierre).</w:t>
      </w:r>
    </w:p>
    <w:p>
      <w:pPr>
        <w:pStyle w:val="ListParagraph"/>
        <w:numPr>
          <w:ilvl w:val="0"/>
          <w:numId w:val="2"/>
        </w:numPr>
        <w:spacing w:after="60" w:line="276"/>
        <w:jc w:val="both"/>
      </w:pPr>
      <w:r>
        <w:t xml:space="preserve">Etapa 3 — Ejecutores (Semanas 3–4): Generar los datos de entrenamiento de Nivel 2 mediante ABIDES calibrado con los parámetros anteriores. Validar que las distribuciones del simulador sean estadísticamente consistentes con el mercado chileno (spread, OBI, perfil de volumen).</w:t>
      </w:r>
    </w:p>
    <w:p>
      <w:pPr>
        <w:pStyle w:val="ListParagraph"/>
        <w:numPr>
          <w:ilvl w:val="0"/>
          <w:numId w:val="2"/>
        </w:numPr>
        <w:spacing w:after="60" w:line="276"/>
        <w:jc w:val="both"/>
      </w:pPr>
      <w:r>
        <w:t xml:space="preserve">Etapa 4 — Validación cruzada (si ICE/Bloomberg disponible): Comparar el comportamiento del simulador con datos reales de Nivel 2, si se logra acceso institucional, para cuantificar el sesgo de simulación.</w:t>
      </w:r>
    </w:p>
    <w:p>
      <w:pPr>
        <w:pStyle w:val="Heading3"/>
      </w:pPr>
      <w:r>
        <w:t xml:space="preserve">4.3.5 Validación de la Calidad del Simulador</w:t>
      </w:r>
    </w:p>
    <w:p>
      <w:pPr>
        <w:spacing w:after="120" w:line="276"/>
        <w:jc w:val="both"/>
      </w:pPr>
      <w:r>
        <w:t xml:space="preserve">Independientemente de la fuente de datos utilizada, el simulador será validado mediante las siguientes métricas estadísticas comparadas entre el entorno simulado y los datos históricos reales disponibles:</w:t>
      </w:r>
    </w:p>
    <w:p>
      <w:pPr>
        <w:pStyle w:val="ListParagraph"/>
        <w:numPr>
          <w:ilvl w:val="0"/>
          <w:numId w:val="2"/>
        </w:numPr>
        <w:spacing w:after="60" w:line="276"/>
        <w:jc w:val="both"/>
      </w:pPr>
      <w:r>
        <w:t xml:space="preserve">Distribución del spread bid-ask promedio por tramo horario (apertura, media jornada, cierre), verificando que el simulador capture el ensanchamiento del spread en horario de baja liquidez (11:30–14:00 hrs).</w:t>
      </w:r>
    </w:p>
    <w:p>
      <w:pPr>
        <w:pStyle w:val="ListParagraph"/>
        <w:numPr>
          <w:ilvl w:val="0"/>
          <w:numId w:val="2"/>
        </w:numPr>
        <w:spacing w:after="60" w:line="276"/>
        <w:jc w:val="both"/>
      </w:pPr>
      <w:r>
        <w:t xml:space="preserve">Perfil de volumen intradiario normalizado: correlación entre el volumen horario simulado y el histórico del IPSA.</w:t>
      </w:r>
    </w:p>
    <w:p>
      <w:pPr>
        <w:pStyle w:val="ListParagraph"/>
        <w:numPr>
          <w:ilvl w:val="0"/>
          <w:numId w:val="2"/>
        </w:numPr>
        <w:spacing w:after="60" w:line="276"/>
        <w:jc w:val="both"/>
      </w:pPr>
      <w:r>
        <w:t xml:space="preserve">Autocorrelación de retornos del precio mid: verificación de que el simulador no introduce dependencias artificiales en la dinámica de precios.</w:t>
      </w:r>
    </w:p>
    <w:p>
      <w:pPr>
        <w:pStyle w:val="ListParagraph"/>
        <w:numPr>
          <w:ilvl w:val="0"/>
          <w:numId w:val="2"/>
        </w:numPr>
        <w:spacing w:after="60" w:line="276"/>
        <w:jc w:val="both"/>
      </w:pPr>
      <w:r>
        <w:t xml:space="preserve">Hechos estilizados del LOB: distribución de colas gruesas en retornos, clustering de volatilidad y reversión a la media del spread, consistentes con la literatura de microestructura de mercado (Gould et al., 2013).</w:t>
      </w:r>
    </w:p>
    <w:p>
      <w:pPr>
        <w:spacing w:after="120" w:line="276"/>
        <w:jc w:val="both"/>
      </w:pPr>
      <w:r>
        <w:t xml:space="preserve">Este proceso de validación constituirá parte de la Etapa 4 del proyecto (Construcción del entorno de simulación, sección 7.1) y sus resultados serán reportados en el Capítulo 6 del informe final (Entrenamiento y Experimentación).</w:t>
      </w:r>
    </w:p>
    <w:p>
      <w:pPr>
        <w:pStyle w:val="Heading1"/>
      </w:pPr>
      <w:r>
        <w:t xml:space="preserve">5. OBJETIVOS</w:t>
      </w:r>
    </w:p>
    <w:p>
      <w:pPr>
        <w:pStyle w:val="Heading2"/>
      </w:pPr>
      <w:r>
        <w:t xml:space="preserve">5.1 OBJETIVO GENERAL</w:t>
      </w:r>
    </w:p>
    <w:p>
      <w:pPr>
        <w:spacing w:after="120" w:line="276"/>
        <w:jc w:val="both"/>
      </w:pPr>
      <w:r>
        <w:t xml:space="preserve">Diseñar y desarrollar un sistema de coordinación de agentes inteligentes basado en Aprendizaje por Refuerzo para mitigar el costo por </w:t>
      </w:r>
      <w:r>
        <w:rPr>
          <w:i/>
          <w:iCs/>
        </w:rPr>
        <w:t xml:space="preserve">Slippage</w:t>
      </w:r>
      <w:r>
        <w:t xml:space="preserve"> en la ejecución de órdenes de gran volumen en el mercado IPSA.</w:t>
      </w:r>
    </w:p>
    <w:p>
      <w:pPr>
        <w:pStyle w:val="Heading2"/>
      </w:pPr>
      <w:r>
        <w:t xml:space="preserve">5.2 OBJETIVOS ESPECÍFICOS</w:t>
      </w:r>
    </w:p>
    <w:p>
      <w:pPr>
        <w:pStyle w:val="ListParagraph"/>
        <w:numPr>
          <w:ilvl w:val="0"/>
          <w:numId w:val="2"/>
        </w:numPr>
        <w:spacing w:after="60" w:line="276"/>
        <w:jc w:val="both"/>
      </w:pPr>
      <w:r>
        <w:t xml:space="preserve">Modelar un entorno de simulación de alta fidelidad que replique la microestructura y la dinámica del libro de órdenes (LOB) de la bolsa de santiago, esto es para permitir el entrenamiento seguro de algoritmos de inteligencia artificial.</w:t>
      </w:r>
    </w:p>
    <w:p>
      <w:pPr>
        <w:pStyle w:val="ListParagraph"/>
        <w:numPr>
          <w:ilvl w:val="0"/>
          <w:numId w:val="2"/>
        </w:numPr>
        <w:spacing w:after="60" w:line="276"/>
        <w:jc w:val="both"/>
      </w:pPr>
      <w:r>
        <w:t xml:space="preserve">Implementar una arquitectura jerárquica de agentes (maestro y ejecutores) utilizando el algoritmo Proximal policy optimization (PPO) en pytorch, esto es con el motivo de que se pueda separar la planificación estratégica de la ejecución táctica de órdenes.</w:t>
      </w:r>
    </w:p>
    <w:p>
      <w:pPr>
        <w:pStyle w:val="ListParagraph"/>
        <w:numPr>
          <w:ilvl w:val="0"/>
          <w:numId w:val="2"/>
        </w:numPr>
        <w:spacing w:after="60" w:line="276"/>
        <w:jc w:val="both"/>
      </w:pPr>
      <w:r>
        <w:t xml:space="preserve">Desarrollar una función de recompensa (Reward function) optimizada para minimizar el ‘</w:t>
      </w:r>
      <w:r>
        <w:t xml:space="preserve">implementation</w:t>
      </w:r>
      <w:r>
        <w:t xml:space="preserve"> shortfall’, permitiendo que los agentes aprendan a identificar ventanas de liquidez oportunas en el IPSA.</w:t>
      </w:r>
    </w:p>
    <w:p>
      <w:pPr>
        <w:pStyle w:val="ListParagraph"/>
        <w:numPr>
          <w:ilvl w:val="0"/>
          <w:numId w:val="2"/>
        </w:numPr>
        <w:spacing w:after="60" w:line="276"/>
        <w:jc w:val="both"/>
      </w:pPr>
      <w:r>
        <w:t xml:space="preserve">Evaluar y validar el desempeño del sistema mediante un análisis comparativo (benchmarking) contra estrategias tradicionales de ejecución (TWAP y VWAP), utilizando métricas de reducción de costos transaccionales y eficiencia de mercado.</w:t>
      </w:r>
    </w:p>
    <w:p>
      <w:pPr>
        <w:pStyle w:val="Heading1"/>
      </w:pPr>
      <w:r>
        <w:t xml:space="preserve">6. ALCANCES Y LIMITACIONES</w:t>
      </w:r>
    </w:p>
    <w:p>
      <w:pPr>
        <w:pStyle w:val="Heading2"/>
      </w:pPr>
      <w:r>
        <w:t xml:space="preserve">6.1 ALCANCES</w:t>
      </w:r>
    </w:p>
    <w:p>
      <w:pPr>
        <w:spacing w:after="120" w:line="276"/>
        <w:jc w:val="both"/>
      </w:pPr>
      <w:r>
        <w:t xml:space="preserve">Considerando el desarrollo, se busca abordar la problemática del ‘Slippage’ mediante el uso de técnicas avanzadas de aprendizaje por refuerzo y sistemas multiagente. Por lo tanto, el proyecto contempla los siguientes alcances:</w:t>
      </w:r>
      <w:r>
        <w:br/>
        <w:t xml:space="preserve"/>
      </w:r>
    </w:p>
    <w:p>
      <w:pPr>
        <w:pStyle w:val="ListParagraph"/>
        <w:numPr>
          <w:ilvl w:val="0"/>
          <w:numId w:val="4"/>
        </w:numPr>
        <w:spacing w:after="60" w:line="276"/>
        <w:jc w:val="both"/>
      </w:pPr>
      <w:r>
        <w:rPr>
          <w:b/>
          <w:bCs/>
        </w:rPr>
        <w:t xml:space="preserve">Desarrollo de un entorno de simulación del mercado accionario chileno: </w:t>
      </w:r>
    </w:p>
    <w:p>
      <w:pPr>
        <w:spacing w:after="120" w:line="276"/>
        <w:jc w:val="both"/>
      </w:pPr>
      <w:r>
        <w:t xml:space="preserve">Se construirá un entorno computacional capaz de representar la dinámica del mercado bursátil chileno a partir de datos históricos, incluyendo la evolución de precios, volúmenes transados y comportamiento del libro de órdenes. Este entorno permitirá recrear condiciones de liquidez y variabilidad del mercado, constituyendo la base para el entrenamiento y evaluación de los agentes inteligentes.</w:t>
      </w:r>
    </w:p>
    <w:p>
      <w:pPr>
        <w:pStyle w:val="ListParagraph"/>
        <w:numPr>
          <w:ilvl w:val="0"/>
          <w:numId w:val="4"/>
        </w:numPr>
        <w:spacing w:after="60" w:line="276"/>
        <w:jc w:val="both"/>
      </w:pPr>
      <w:r>
        <w:rPr>
          <w:b/>
          <w:bCs/>
        </w:rPr>
        <w:t xml:space="preserve">Modelamiento del problema de ejecución como un entorno de aprendizaje por refuerzo:</w:t>
      </w:r>
    </w:p>
    <w:p>
      <w:pPr>
        <w:spacing w:after="120" w:line="276"/>
        <w:jc w:val="both"/>
      </w:pPr>
      <w:r>
        <w:t xml:space="preserve">El proyecto desarrollará una formulación del problema en términos de estados, acciones y recompensas, permitiendo representar la ejecución de órdenes como un proceso de toma de decisiones secuencial. Este modelamiento incluirá variables relevantes como inventario restante, tiempo disponible, condiciones del mercado y métricas de desempeño asociadas al costo de ejecución.</w:t>
      </w:r>
    </w:p>
    <w:p>
      <w:pPr>
        <w:pStyle w:val="ListParagraph"/>
        <w:numPr>
          <w:ilvl w:val="0"/>
          <w:numId w:val="4"/>
        </w:numPr>
        <w:spacing w:after="60" w:line="276"/>
        <w:jc w:val="both"/>
      </w:pPr>
      <w:r>
        <w:rPr>
          <w:b/>
          <w:bCs/>
        </w:rPr>
        <w:t xml:space="preserve">Diseño e implementación de una arquitectura multiagente jerárquica:</w:t>
      </w:r>
    </w:p>
    <w:p>
      <w:pPr>
        <w:spacing w:after="120" w:line="276"/>
        <w:jc w:val="both"/>
      </w:pPr>
      <w:r>
        <w:t xml:space="preserve">Se desarrollará una estructura compuesta por un ‘Agente Maestro’ y múltiples ‘Agentes Ejecutores’. El Agente Maestro será responsable de la planificación estratégica de la ejecución, determinando la fragmentación de la orden total en subórdenes, mientras que los Agentes Ejecutores se </w:t>
      </w:r>
      <w:r>
        <w:t xml:space="preserve">encargarán</w:t>
      </w:r>
      <w:r>
        <w:t xml:space="preserve"> de la ejecución táctica, interactuando directamente con el entorno simulado para decidir el momento y la forma de ejecución.</w:t>
      </w:r>
    </w:p>
    <w:p>
      <w:pPr>
        <w:pStyle w:val="ListParagraph"/>
        <w:numPr>
          <w:ilvl w:val="0"/>
          <w:numId w:val="4"/>
        </w:numPr>
        <w:spacing w:after="60" w:line="276"/>
        <w:jc w:val="both"/>
      </w:pPr>
      <w:r>
        <w:rPr>
          <w:b/>
          <w:bCs/>
        </w:rPr>
        <w:t xml:space="preserve">Implementación del algoritmo de aprendizaje por refuerzo (PPO):</w:t>
      </w:r>
    </w:p>
    <w:p>
      <w:pPr>
        <w:spacing w:after="120" w:line="276"/>
        <w:jc w:val="both"/>
      </w:pPr>
      <w:r>
        <w:t xml:space="preserve">Se integrará el algoritmo Proximal Policy Optimization (PPO) como núcleo del sistema de aprendizaje, utilizando herramientas del ecosistema Python, particularmente </w:t>
      </w:r>
      <w:r>
        <w:t xml:space="preserve">PyTorch</w:t>
      </w:r>
      <w:r>
        <w:t xml:space="preserve">. Esto permitirá entrenar a los agentes para que aprendan políticas de ejecución eficientes, adaptándose dinámicamente a las condiciones del entorno simulado.</w:t>
      </w:r>
    </w:p>
    <w:p>
      <w:pPr>
        <w:pStyle w:val="ListParagraph"/>
        <w:numPr>
          <w:ilvl w:val="0"/>
          <w:numId w:val="4"/>
        </w:numPr>
        <w:spacing w:after="60" w:line="276"/>
        <w:jc w:val="both"/>
      </w:pPr>
      <w:r>
        <w:rPr>
          <w:b/>
          <w:bCs/>
        </w:rPr>
        <w:t xml:space="preserve">Diseño de una función de recompensa orientada a la eficiencia de ejecución:</w:t>
      </w:r>
    </w:p>
    <w:p>
      <w:pPr>
        <w:spacing w:after="120" w:line="276"/>
        <w:jc w:val="both"/>
      </w:pPr>
      <w:r>
        <w:t xml:space="preserve">Se definirá una función de recompensa basada en métricas financieras relevantes, como el implementation shortfall, con el objetivo de guiar el aprendizaje de los agentes hacia la minimización de costos asociados a la ejecución de órdenes y la mejora en la calidad de los precios obtenidos. </w:t>
      </w:r>
    </w:p>
    <w:p>
      <w:pPr>
        <w:pStyle w:val="ListParagraph"/>
        <w:numPr>
          <w:ilvl w:val="0"/>
          <w:numId w:val="4"/>
        </w:numPr>
        <w:spacing w:after="60" w:line="276"/>
        <w:jc w:val="both"/>
      </w:pPr>
      <w:r>
        <w:rPr>
          <w:b/>
          <w:bCs/>
        </w:rPr>
        <w:t xml:space="preserve">Entrenamiento y ajuste del modelo en base a datos históricos:</w:t>
      </w:r>
    </w:p>
    <w:p>
      <w:pPr>
        <w:spacing w:after="120" w:line="276"/>
        <w:jc w:val="both"/>
      </w:pPr>
      <w:r>
        <w:t xml:space="preserve">Se realizará el proceso de entrenamiento de los agentes utilizando datos históricos del mercado IPSA, permitiendo que el sistema aprenda patrones de liquidez, comportamiento del mercado y oportunidades de ejecución eficiente. Este proceso incluirá iteraciones de ajuste de parámetros para mejorar el desempeño del modelo.</w:t>
      </w:r>
    </w:p>
    <w:p>
      <w:pPr>
        <w:pStyle w:val="Heading2"/>
      </w:pPr>
      <w:r>
        <w:t xml:space="preserve">6.2 LIMITACIONES</w:t>
      </w:r>
    </w:p>
    <w:p>
      <w:pPr>
        <w:spacing w:after="120" w:line="276"/>
        <w:jc w:val="both"/>
      </w:pPr>
      <w:r>
        <w:t xml:space="preserve">El presente proyecto, si bien plantea una solución técnicamente avanzada, opera dentro de un conjunto de restricciones deliberadas que acotan su alcance. Las limitaciones son las siguientes:</w:t>
      </w:r>
    </w:p>
    <w:p>
      <w:pPr>
        <w:pStyle w:val="ListParagraph"/>
        <w:numPr>
          <w:ilvl w:val="0"/>
          <w:numId w:val="5"/>
        </w:numPr>
        <w:spacing w:after="60" w:line="276"/>
        <w:jc w:val="both"/>
      </w:pPr>
      <w:r>
        <w:rPr>
          <w:b/>
          <w:bCs/>
        </w:rPr>
        <w:t xml:space="preserve">Sin ejecución en tiempo real (Live Trading):</w:t>
      </w:r>
    </w:p>
    <w:p>
      <w:pPr>
        <w:spacing w:after="120" w:line="276"/>
        <w:jc w:val="both"/>
      </w:pPr>
      <w:r>
        <w:t xml:space="preserve">El alcance del proyecto es estrictamente investigativo y de desarrollo de software. El sistema no contempla la conexión a APIs de corredoras o brokers reales para el envío de órdenes efectivas a la Bolsa de Santiago. Todas las simulaciones y validaciones se realizan sobre datos históricos. El objetivo es demostrar la viabilidad y superioridad del enfoque mediante backtesting riguroso, no operar capital real.</w:t>
      </w:r>
    </w:p>
    <w:p>
      <w:pPr>
        <w:pStyle w:val="ListParagraph"/>
        <w:numPr>
          <w:ilvl w:val="0"/>
          <w:numId w:val="5"/>
        </w:numPr>
        <w:spacing w:after="60" w:line="276"/>
        <w:jc w:val="both"/>
      </w:pPr>
      <w:r>
        <w:rPr>
          <w:b/>
          <w:bCs/>
        </w:rPr>
        <w:t xml:space="preserve">Universo limitado al Índice IPSA:</w:t>
      </w:r>
    </w:p>
    <w:p>
      <w:pPr>
        <w:spacing w:after="120" w:line="276"/>
        <w:jc w:val="both"/>
      </w:pPr>
      <w:r>
        <w:t xml:space="preserve">El sistema se circunscribe exclusivamente a las acciones que componen el índice IPSA. No se considerarán activos de otros mercados internacionales (NYSE, NASDAQ, etc.), instrumentos de renta fija, divisas ni criptomonedas. Esta delimitación permite concentrar los esfuerzos de modelado en las particularidades microestructurales del mercado chileno.</w:t>
      </w:r>
    </w:p>
    <w:p>
      <w:pPr>
        <w:pStyle w:val="ListParagraph"/>
        <w:numPr>
          <w:ilvl w:val="0"/>
          <w:numId w:val="5"/>
        </w:numPr>
        <w:spacing w:after="60" w:line="276"/>
        <w:jc w:val="both"/>
      </w:pPr>
      <w:r>
        <w:rPr>
          <w:b/>
          <w:bCs/>
        </w:rPr>
        <w:t xml:space="preserve">Dependencia de la calidad y disponibilidad de datos:</w:t>
      </w:r>
    </w:p>
    <w:p>
      <w:pPr>
        <w:spacing w:after="120" w:line="276"/>
        <w:jc w:val="both"/>
      </w:pPr>
      <w:r>
        <w:t xml:space="preserve">La fidelidad del simulador de mercado y la calidad del entrenamiento de los agentes están directamente condicionadas por la disponibilidad de datos históricos de alta granularidad. La escasez o ausencia de datos de Nivel 2 (profundidad total del LOB, más allá de las mejores puntas) podría limitar la capacidad del simulador para replicar fielmente las condiciones del mercado real, introduciendo un sesgo en las métricas de desempeño obtenidas.</w:t>
      </w:r>
    </w:p>
    <w:p>
      <w:pPr>
        <w:pStyle w:val="ListParagraph"/>
        <w:numPr>
          <w:ilvl w:val="0"/>
          <w:numId w:val="5"/>
        </w:numPr>
        <w:spacing w:after="60" w:line="276"/>
        <w:jc w:val="both"/>
      </w:pPr>
      <w:r>
        <w:rPr>
          <w:b/>
          <w:bCs/>
        </w:rPr>
        <w:t xml:space="preserve">No predicción de eventos exógenos (Cisnes Negros):</w:t>
      </w:r>
    </w:p>
    <w:p>
      <w:pPr>
        <w:spacing w:after="120" w:line="276"/>
        <w:jc w:val="both"/>
      </w:pPr>
      <w:r>
        <w:t xml:space="preserve">El sistema no está diseñado para predecir ni gestionar eventos macroeconómicos extremos e inesperados, como crisis financieras sistémicas, estallidos sociales o pandemias, que alteren la microestructura normal del mercado de forma drástica y prolongada. Los agentes son entrenados en condiciones de mercado representativas (incluyendo períodos de estrés histórico moderado), pero su comportamiento ante escenarios completamente inéditos no está garantizado.</w:t>
      </w:r>
    </w:p>
    <w:p>
      <w:pPr>
        <w:pStyle w:val="ListParagraph"/>
        <w:numPr>
          <w:ilvl w:val="0"/>
          <w:numId w:val="5"/>
        </w:numPr>
        <w:spacing w:after="60" w:line="276"/>
        <w:jc w:val="both"/>
      </w:pPr>
      <w:r>
        <w:rPr>
          <w:b/>
          <w:bCs/>
        </w:rPr>
        <w:t xml:space="preserve">Ausencia de regulación en tiempo real:</w:t>
      </w:r>
    </w:p>
    <w:p>
      <w:pPr>
        <w:spacing w:after="120" w:line="276"/>
        <w:jc w:val="both"/>
      </w:pPr>
      <w:r>
        <w:t xml:space="preserve">El prototipo no incluye un módulo de cumplimiento normativo (compliance) automatizado que verifique en tiempo real si las acciones del agente respetan las regulaciones de la Comisión para el Mercado Financiero (CMF). La evaluación del cumplimiento regulatorio es responsabilidad del operador y queda fuera del alcance de este proyecto.</w:t>
      </w:r>
    </w:p>
    <w:p>
      <w:pPr>
        <w:pStyle w:val="ListParagraph"/>
        <w:numPr>
          <w:ilvl w:val="0"/>
          <w:numId w:val="5"/>
        </w:numPr>
        <w:spacing w:after="60" w:line="276"/>
        <w:jc w:val="both"/>
      </w:pPr>
      <w:r>
        <w:rPr>
          <w:b/>
          <w:bCs/>
        </w:rPr>
        <w:t xml:space="preserve">Sin gestión de carteras múltiples:</w:t>
      </w:r>
    </w:p>
    <w:p>
      <w:pPr>
        <w:spacing w:after="120" w:line="276"/>
        <w:jc w:val="both"/>
      </w:pPr>
      <w:r>
        <w:t xml:space="preserve">El sistema está diseñado para optimizar la ejecución de una única meta-orden sobre un único activo en un período determinado. La coordinación de ejecuciones simultáneas sobre múltiples activos con restricciones de correlación de cartera queda fuera del alcance de este proyecto.</w:t>
      </w:r>
    </w:p>
    <w:p>
      <w:pPr>
        <w:pStyle w:val="Heading1"/>
      </w:pPr>
      <w:r>
        <w:t xml:space="preserve">7. METODOLOGÍA DEL PROYECTO</w:t>
      </w:r>
    </w:p>
    <w:p>
      <w:pPr>
        <w:spacing w:after="120" w:line="276"/>
        <w:jc w:val="both"/>
      </w:pPr>
      <w:r>
        <w:t xml:space="preserve">La metodología del proyecto se </w:t>
      </w:r>
      <w:r>
        <w:t xml:space="preserve">organizara</w:t>
      </w:r>
      <w:r>
        <w:t xml:space="preserve"> en etapas secuenciales e iterativas, pensadas para pasar desde la comprensión del problema hasta la validación del prototipo.</w:t>
      </w:r>
    </w:p>
    <w:p>
      <w:pPr>
        <w:pStyle w:val="Heading2"/>
      </w:pPr>
      <w:r>
        <w:t xml:space="preserve">7.1 Etapas del proyecto</w:t>
      </w:r>
    </w:p>
    <w:p>
      <w:pPr>
        <w:spacing w:after="120" w:line="276"/>
        <w:jc w:val="both"/>
      </w:pPr>
      <w:r>
        <w:rPr>
          <w:b/>
          <w:bCs/>
        </w:rPr>
        <w:t xml:space="preserve">Etapa 1: Investigación y delimitación del problema</w:t>
      </w:r>
    </w:p>
    <w:p>
      <w:pPr>
        <w:spacing w:after="120" w:line="276"/>
        <w:jc w:val="both"/>
      </w:pPr>
      <w:r>
        <w:t xml:space="preserve">En esta primera etapa se construye la base conceptual y contextual del proyecto. El propósito es definir con precisión el problema del slippage, comprender su relación con la microestructura del mercado y justificar técnicamente la elección del IPSA como entorno de estudio. También se revisan trabajos previos sobre ejecución algorítmica, aprendizaje por refuerzo, coordinación multiagente y simulación de mercados, para establecer un marco sólido y evitar ambigüedades en el diseño posterior. </w:t>
      </w:r>
    </w:p>
    <w:p>
      <w:pPr>
        <w:pStyle w:val="ListParagraph"/>
        <w:numPr>
          <w:ilvl w:val="0"/>
          <w:numId w:val="2"/>
        </w:numPr>
        <w:spacing w:after="60" w:line="276"/>
        <w:jc w:val="both"/>
      </w:pPr>
      <w:r>
        <w:rPr>
          <w:b/>
          <w:bCs/>
        </w:rPr>
        <w:t xml:space="preserve">Fase 1: Búsqueda de información.</w:t>
      </w:r>
    </w:p>
    <w:p>
      <w:pPr>
        <w:spacing w:after="120" w:line="276"/>
        <w:jc w:val="both"/>
      </w:pPr>
      <w:r>
        <w:t xml:space="preserve">Se recopila bibliografía académica, documentación técnica y fuentes institucionales relacionadas con slippage, implementation shortfall, libro de órdenes, estrategias TWAP/VWAP, PPO, sistemas multiagente y regulación del mercado chileno. Esta fase permite reunir los conceptos mínimos necesarios para sostener la propuesta. </w:t>
      </w:r>
    </w:p>
    <w:p>
      <w:pPr>
        <w:pStyle w:val="ListParagraph"/>
        <w:numPr>
          <w:ilvl w:val="0"/>
          <w:numId w:val="2"/>
        </w:numPr>
        <w:spacing w:after="60" w:line="276"/>
        <w:jc w:val="both"/>
      </w:pPr>
      <w:r>
        <w:rPr>
          <w:b/>
          <w:bCs/>
        </w:rPr>
        <w:t xml:space="preserve">Fase 2: Análisis y selección de información relevante. </w:t>
      </w:r>
    </w:p>
    <w:p>
      <w:pPr>
        <w:spacing w:after="120" w:line="276"/>
        <w:jc w:val="both"/>
      </w:pPr>
      <w:r>
        <w:t xml:space="preserve">Se filtra la información encontrada y se priorizan aquellos antecedentes que realmente aportan al problema del proyecto. En esta fase se descartan enfoques demasiado generales o ajenos al alcance definido, con el fin de mantener coherencia entre teoría y desarrollo.</w:t>
      </w:r>
    </w:p>
    <w:p>
      <w:pPr>
        <w:pStyle w:val="ListParagraph"/>
        <w:numPr>
          <w:ilvl w:val="0"/>
          <w:numId w:val="2"/>
        </w:numPr>
        <w:spacing w:after="60" w:line="276"/>
        <w:jc w:val="both"/>
      </w:pPr>
      <w:r>
        <w:rPr>
          <w:b/>
          <w:bCs/>
        </w:rPr>
        <w:t xml:space="preserve">Fase 3: Elaboración del marco teórico y contextual.</w:t>
      </w:r>
    </w:p>
    <w:p>
      <w:pPr>
        <w:spacing w:after="120" w:line="276"/>
        <w:jc w:val="both"/>
      </w:pPr>
      <w:r>
        <w:t xml:space="preserve">Se redactan los fundamentos del proyecto: definición de microestructura de mercado, funcionamiento del libro de órdenes, características del IPSA, significado del slippage, medidas de impacto de ejecución y justificación del uso de aprendizaje por refuerzo profundo. El resultado de esta fase debe dejar claro por qué el problema es relevante y por qué la solución propuesta es pertinente.</w:t>
      </w:r>
    </w:p>
    <w:p>
      <w:pPr>
        <w:spacing w:after="120" w:line="276"/>
        <w:jc w:val="both"/>
      </w:pPr>
      <w:r>
        <w:rPr>
          <w:b/>
          <w:bCs/>
        </w:rPr>
        <w:t xml:space="preserve">Etapa 2: Definición funcional y técnica de la solución</w:t>
      </w:r>
    </w:p>
    <w:p>
      <w:pPr>
        <w:spacing w:after="120" w:line="276"/>
        <w:jc w:val="both"/>
      </w:pPr>
      <w:r>
        <w:t xml:space="preserve">Esta etapa traduce el problema investigado a una solución computacional concreta. Aquí se establecen las reglas de funcionamiento del sistema, la lógica de interacción entre agentes y las condiciones bajo las cuales se entrenará y evaluará el modelo. La idea es convertir la problemática bursátil en un problema de decisión estructurado y computable.</w:t>
      </w:r>
    </w:p>
    <w:p>
      <w:pPr>
        <w:pStyle w:val="ListParagraph"/>
        <w:numPr>
          <w:ilvl w:val="0"/>
          <w:numId w:val="2"/>
        </w:numPr>
        <w:spacing w:after="60" w:line="276"/>
        <w:jc w:val="both"/>
      </w:pPr>
      <w:r>
        <w:rPr>
          <w:b/>
          <w:bCs/>
        </w:rPr>
        <w:t xml:space="preserve">Fase 1: Levantamiento de requerimientos. </w:t>
      </w:r>
    </w:p>
    <w:p>
      <w:pPr>
        <w:spacing w:after="120" w:line="276"/>
        <w:jc w:val="both"/>
      </w:pPr>
      <w:r>
        <w:t xml:space="preserve">Se definen los requerimientos funcionales y no funcionales del sistema. Entre ellos se considera la necesidad de simular el mercado, trabajar con datos históricos, ejecutar estrategias de fragmentación de órdenes y comparar resultados contra benchmarks tradicionales.</w:t>
      </w:r>
    </w:p>
    <w:p>
      <w:pPr>
        <w:pStyle w:val="ListParagraph"/>
        <w:numPr>
          <w:ilvl w:val="0"/>
          <w:numId w:val="2"/>
        </w:numPr>
        <w:spacing w:after="60" w:line="276"/>
        <w:jc w:val="both"/>
      </w:pPr>
      <w:r>
        <w:rPr>
          <w:b/>
          <w:bCs/>
        </w:rPr>
        <w:t xml:space="preserve">Fase 2: Definición del alcance operativo. </w:t>
      </w:r>
    </w:p>
    <w:p>
      <w:pPr>
        <w:spacing w:after="120" w:line="276"/>
        <w:jc w:val="both"/>
      </w:pPr>
      <w:r>
        <w:t xml:space="preserve">Se especifican las restricciones del proyecto: un solo mercado, un solo activo o una sola meta-orden por simulación, ausencia de ejecución real y uso exclusivo de datos históricos. Esta fase es clave porque evita que el proyecto crezca hacia una solución imposible de abordar en el tiempo del título.</w:t>
      </w:r>
    </w:p>
    <w:p>
      <w:pPr>
        <w:pStyle w:val="ListParagraph"/>
        <w:numPr>
          <w:ilvl w:val="0"/>
          <w:numId w:val="2"/>
        </w:numPr>
        <w:spacing w:after="60" w:line="276"/>
        <w:jc w:val="both"/>
      </w:pPr>
      <w:r>
        <w:rPr>
          <w:b/>
          <w:bCs/>
        </w:rPr>
        <w:t xml:space="preserve">Fase 3: Modelado del problema como entorno de decisión.</w:t>
      </w:r>
    </w:p>
    <w:p>
      <w:pPr>
        <w:spacing w:after="120" w:line="276"/>
        <w:jc w:val="both"/>
      </w:pPr>
      <w:r>
        <w:t xml:space="preserve">Se formula el problema en términos de estados, acciones y recompensas. Aquí se define qué variables observará el sistema, qué decisiones podrá tomar y cómo se medirá el éxito de cada acción en relación con la reducción del slippage y del </w:t>
      </w:r>
      <w:r>
        <w:t xml:space="preserve">implementation</w:t>
      </w:r>
      <w:r>
        <w:t xml:space="preserve"> shortfall.</w:t>
      </w:r>
    </w:p>
    <w:p>
      <w:pPr>
        <w:spacing w:after="120" w:line="276"/>
        <w:jc w:val="both"/>
      </w:pPr>
      <w:r>
        <w:rPr>
          <w:b/>
          <w:bCs/>
        </w:rPr>
        <w:t xml:space="preserve">Etapa 3: Diseño de la arquitectura del sistema</w:t>
      </w:r>
    </w:p>
    <w:p>
      <w:pPr>
        <w:spacing w:after="120" w:line="276"/>
        <w:jc w:val="both"/>
      </w:pPr>
      <w:r>
        <w:t xml:space="preserve">En esta etapa se diseña la estructura interna del prototipo. El objetivo es definir cómo se organizan los componentes que forman parte del sistema de coordinación de agentes, considerando la separación entre planificación estratégica y ejecución táctica que se propone. La arquitectura debe ser lo bastante clara como para que el sistema pueda implementarse después sin contradicciones.</w:t>
      </w:r>
    </w:p>
    <w:p>
      <w:pPr>
        <w:pStyle w:val="ListParagraph"/>
        <w:numPr>
          <w:ilvl w:val="0"/>
          <w:numId w:val="2"/>
        </w:numPr>
        <w:spacing w:after="60" w:line="276"/>
        <w:jc w:val="both"/>
      </w:pPr>
      <w:r>
        <w:rPr>
          <w:b/>
          <w:bCs/>
        </w:rPr>
        <w:t xml:space="preserve">Fase 1: Diseño del Agente Maestro.</w:t>
      </w:r>
      <w:r>
        <w:t xml:space="preserve"> </w:t>
      </w:r>
    </w:p>
    <w:p>
      <w:pPr>
        <w:spacing w:after="120" w:line="276"/>
        <w:jc w:val="both"/>
      </w:pPr>
      <w:r>
        <w:t xml:space="preserve">Se define el agente encargado de planificar la fragmentación de la meta-orden, distribuir el volumen en tramos y decidir en qué ventanas temporales conviene ejecutar cada parte. Su función es trabajar a nivel macro y considerar variables agregadas del mercado.</w:t>
      </w:r>
    </w:p>
    <w:p>
      <w:pPr>
        <w:pStyle w:val="ListParagraph"/>
        <w:numPr>
          <w:ilvl w:val="0"/>
          <w:numId w:val="2"/>
        </w:numPr>
        <w:spacing w:after="60" w:line="276"/>
        <w:jc w:val="both"/>
      </w:pPr>
      <w:r>
        <w:rPr>
          <w:b/>
          <w:bCs/>
        </w:rPr>
        <w:t xml:space="preserve">Fase 2: Diseño de los Agentes Ejecutores.</w:t>
      </w:r>
    </w:p>
    <w:p>
      <w:pPr>
        <w:spacing w:after="120" w:line="276"/>
        <w:jc w:val="both"/>
      </w:pPr>
      <w:r>
        <w:t xml:space="preserve">Se especifican los agentes encargados de operar sobre el libro de órdenes en intervalos más cortos. Estos agentes deben decidir el momento y la forma de ejecución, atendiendo a la liquidez disponible y al spread observado.</w:t>
      </w:r>
    </w:p>
    <w:p>
      <w:pPr>
        <w:pStyle w:val="ListParagraph"/>
        <w:numPr>
          <w:ilvl w:val="0"/>
          <w:numId w:val="2"/>
        </w:numPr>
        <w:spacing w:after="60" w:line="276"/>
        <w:jc w:val="both"/>
      </w:pPr>
      <w:r>
        <w:rPr>
          <w:b/>
          <w:bCs/>
        </w:rPr>
        <w:t xml:space="preserve">Fase 3: Diseño de la función de recompensa.</w:t>
      </w:r>
    </w:p>
    <w:p>
      <w:pPr>
        <w:spacing w:after="120" w:line="276"/>
        <w:jc w:val="both"/>
      </w:pPr>
      <w:r>
        <w:t xml:space="preserve">Se formula una recompensa orientada a minimizar el </w:t>
      </w:r>
      <w:r>
        <w:t xml:space="preserve">implementation</w:t>
      </w:r>
      <w:r>
        <w:t xml:space="preserve"> shortfall y a penalizar ejecuciones ineficientes. Esta fase es central, porque de ella depende que el sistema aprenda a comportarse de acuerdo con el objetivo real del proyecto.</w:t>
      </w:r>
    </w:p>
    <w:p>
      <w:pPr>
        <w:pStyle w:val="ListParagraph"/>
        <w:numPr>
          <w:ilvl w:val="0"/>
          <w:numId w:val="2"/>
        </w:numPr>
        <w:spacing w:after="60" w:line="276"/>
        <w:jc w:val="both"/>
      </w:pPr>
      <w:r>
        <w:rPr>
          <w:b/>
          <w:bCs/>
        </w:rPr>
        <w:t xml:space="preserve">Fase 4: Definición de la arquitectura de aprendizaje.</w:t>
      </w:r>
    </w:p>
    <w:p>
      <w:pPr>
        <w:spacing w:after="120" w:line="276"/>
        <w:jc w:val="both"/>
      </w:pPr>
      <w:r>
        <w:t xml:space="preserve">Se establece el uso de PPO como algoritmo principal de entrenamiento, junto con la estructura de redes neuronales y los parámetros generales de aprendizaje. La elección es consistente con la literatura de PPO, que destaca por su estabilidad y su buen equilibrio entre simplicidad y desempeño.</w:t>
      </w:r>
    </w:p>
    <w:p>
      <w:pPr>
        <w:spacing w:after="120" w:line="276"/>
        <w:jc w:val="both"/>
      </w:pPr>
      <w:r>
        <w:rPr>
          <w:b/>
          <w:bCs/>
        </w:rPr>
        <w:t xml:space="preserve">Etapa 4: Construcción del entorno de simulación</w:t>
      </w:r>
    </w:p>
    <w:p>
      <w:pPr>
        <w:spacing w:after="120" w:line="276"/>
        <w:jc w:val="both"/>
      </w:pPr>
      <w:r>
        <w:t xml:space="preserve">Esta etapa corresponde a la creación del entorno donde los agentes podrán aprender sin necesidad de operar en el mercado real. Aquí se materializa el espacio del entrenamiento, se procesan los datos históricos y se simulan condiciones de liquidez cercanas a las del mercado objetivo.</w:t>
      </w:r>
    </w:p>
    <w:p>
      <w:pPr>
        <w:pStyle w:val="ListParagraph"/>
        <w:numPr>
          <w:ilvl w:val="0"/>
          <w:numId w:val="2"/>
        </w:numPr>
        <w:spacing w:after="60" w:line="276"/>
        <w:jc w:val="both"/>
      </w:pPr>
      <w:r>
        <w:rPr>
          <w:b/>
          <w:bCs/>
        </w:rPr>
        <w:t xml:space="preserve">Fase 1: Recolección y organización de datos.</w:t>
      </w:r>
    </w:p>
    <w:p>
      <w:pPr>
        <w:spacing w:after="120" w:line="276"/>
        <w:jc w:val="both"/>
      </w:pPr>
      <w:r>
        <w:t xml:space="preserve">Se obtienen datos históricos del mercado, idealmente con el mayor nivel de granularidad disponible, para reconstruir el comportamiento del libro de órdenes y del precio durante la jornada bursátil.</w:t>
      </w:r>
    </w:p>
    <w:p>
      <w:pPr>
        <w:pStyle w:val="ListParagraph"/>
        <w:numPr>
          <w:ilvl w:val="0"/>
          <w:numId w:val="2"/>
        </w:numPr>
        <w:spacing w:after="60" w:line="276"/>
        <w:jc w:val="both"/>
      </w:pPr>
      <w:r>
        <w:rPr>
          <w:b/>
          <w:bCs/>
        </w:rPr>
        <w:t xml:space="preserve">Fase 2: Limpieza y preprocesamiento.</w:t>
      </w:r>
    </w:p>
    <w:p>
      <w:pPr>
        <w:spacing w:after="120" w:line="276"/>
        <w:jc w:val="both"/>
      </w:pPr>
      <w:r>
        <w:t xml:space="preserve">Se normalizan los datos, se corrigen inconsistencias y se estructuran en un formato utilizable para entrenamiento. Esta fase asegura que la información sea homogénea y apta para alimentar el simulador.</w:t>
      </w:r>
    </w:p>
    <w:p>
      <w:pPr>
        <w:pStyle w:val="ListParagraph"/>
        <w:numPr>
          <w:ilvl w:val="0"/>
          <w:numId w:val="2"/>
        </w:numPr>
        <w:spacing w:after="60" w:line="276"/>
        <w:jc w:val="both"/>
      </w:pPr>
      <w:r>
        <w:rPr>
          <w:b/>
          <w:bCs/>
        </w:rPr>
        <w:t xml:space="preserve">Fase 3: Implementación del simulador de mercado.</w:t>
      </w:r>
    </w:p>
    <w:p>
      <w:pPr>
        <w:spacing w:after="120" w:line="276"/>
        <w:jc w:val="both"/>
      </w:pPr>
      <w:r>
        <w:t xml:space="preserve">Se desarrolla el entorno que recreará el comportamiento del mercado accionario chileno bajo condiciones históricas. El simulador debe permitir reproducir escenarios de distinta liquidez, variaciones de spread y ejecución parcial de órdenes.</w:t>
      </w:r>
    </w:p>
    <w:p>
      <w:pPr>
        <w:pStyle w:val="ListParagraph"/>
        <w:numPr>
          <w:ilvl w:val="0"/>
          <w:numId w:val="2"/>
        </w:numPr>
        <w:spacing w:after="60" w:line="276"/>
        <w:jc w:val="both"/>
      </w:pPr>
      <w:r>
        <w:rPr>
          <w:b/>
          <w:bCs/>
        </w:rPr>
        <w:t xml:space="preserve">Fase 4: Integración del simulador con la lógica de agentes.</w:t>
      </w:r>
    </w:p>
    <w:p>
      <w:pPr>
        <w:spacing w:after="120" w:line="276"/>
        <w:jc w:val="both"/>
      </w:pPr>
      <w:r>
        <w:t xml:space="preserve">Se conecta el entorno con los módulos del Agente Maestro y de los Agentes Ejecutores, de forma que el sistema pueda ejecutar decisiones, recibir retroalimentación y registrar resultados.</w:t>
      </w:r>
    </w:p>
    <w:p>
      <w:pPr>
        <w:spacing w:after="120" w:line="276"/>
        <w:jc w:val="both"/>
      </w:pPr>
      <w:r>
        <w:rPr>
          <w:b/>
          <w:bCs/>
        </w:rPr>
        <w:t xml:space="preserve">Etapa 5: Entrenamiento del modelo y ajuste experimental</w:t>
      </w:r>
    </w:p>
    <w:p>
      <w:pPr>
        <w:spacing w:after="120" w:line="276"/>
        <w:jc w:val="both"/>
      </w:pPr>
      <w:r>
        <w:t xml:space="preserve">En esta etapa se ejecuta el aprendizaje del sistema y se afinan los parámetros del modelo. El foco está en lograr que los agentes aprendan a ejecutar órdenes de forma más eficiente que las estrategias base, sin perder estabilidad ni sobreajuste a los datos históricos.</w:t>
      </w:r>
    </w:p>
    <w:p>
      <w:pPr>
        <w:pStyle w:val="ListParagraph"/>
        <w:numPr>
          <w:ilvl w:val="0"/>
          <w:numId w:val="2"/>
        </w:numPr>
        <w:spacing w:after="60" w:line="276"/>
        <w:jc w:val="both"/>
      </w:pPr>
      <w:r>
        <w:rPr>
          <w:b/>
          <w:bCs/>
        </w:rPr>
        <w:t xml:space="preserve">Fase 1: Entrenamiento inicial.</w:t>
      </w:r>
    </w:p>
    <w:p>
      <w:pPr>
        <w:spacing w:after="120" w:line="276"/>
        <w:jc w:val="both"/>
      </w:pPr>
      <w:r>
        <w:t xml:space="preserve">Se realiza un primer ciclo de aprendizaje para verificar que el modelo responde correctamente al entorno y que la función de recompensa produce señales útiles.</w:t>
      </w:r>
    </w:p>
    <w:p>
      <w:pPr>
        <w:pStyle w:val="ListParagraph"/>
        <w:numPr>
          <w:ilvl w:val="0"/>
          <w:numId w:val="2"/>
        </w:numPr>
        <w:spacing w:after="60" w:line="276"/>
        <w:jc w:val="both"/>
      </w:pPr>
      <w:r>
        <w:rPr>
          <w:b/>
          <w:bCs/>
        </w:rPr>
        <w:t xml:space="preserve">Fase 2: Ajuste de </w:t>
      </w:r>
      <w:r>
        <w:rPr>
          <w:b/>
          <w:bCs/>
        </w:rPr>
        <w:t xml:space="preserve">hiperparámetros</w:t>
      </w:r>
      <w:r>
        <w:rPr>
          <w:b/>
          <w:bCs/>
        </w:rPr>
        <w:t xml:space="preserve">.</w:t>
      </w:r>
    </w:p>
    <w:p>
      <w:pPr>
        <w:spacing w:after="120" w:line="276"/>
        <w:jc w:val="both"/>
      </w:pPr>
      <w:r>
        <w:t xml:space="preserve">Se afinan parámetros como tasa de aprendizaje, tamaño de lote, número de episodios, coeficiente de exploración y rango de clipping de PPO, buscando un equilibrio entre estabilidad y capacidad de adaptación.</w:t>
      </w:r>
    </w:p>
    <w:p>
      <w:pPr>
        <w:pStyle w:val="ListParagraph"/>
        <w:numPr>
          <w:ilvl w:val="0"/>
          <w:numId w:val="2"/>
        </w:numPr>
        <w:spacing w:after="60" w:line="276"/>
        <w:jc w:val="both"/>
      </w:pPr>
      <w:r>
        <w:rPr>
          <w:b/>
          <w:bCs/>
        </w:rPr>
        <w:t xml:space="preserve">Fase 3: Pruebas iterativas de desempeño.</w:t>
      </w:r>
    </w:p>
    <w:p>
      <w:pPr>
        <w:spacing w:after="120" w:line="276"/>
        <w:jc w:val="both"/>
      </w:pPr>
      <w:r>
        <w:t xml:space="preserve">Se ejecutan simulaciones repetidas para observar el comportamiento del sistema frente a distintos niveles de liquidez y distintos tamaños de orden. Esta fase permite detectar fallas tempranas y corregirlas.</w:t>
      </w:r>
    </w:p>
    <w:p>
      <w:pPr>
        <w:pStyle w:val="ListParagraph"/>
        <w:numPr>
          <w:ilvl w:val="0"/>
          <w:numId w:val="2"/>
        </w:numPr>
        <w:spacing w:after="60" w:line="276"/>
        <w:jc w:val="both"/>
      </w:pPr>
      <w:r>
        <w:rPr>
          <w:b/>
          <w:bCs/>
        </w:rPr>
        <w:t xml:space="preserve">Fase 4: Comparación con benchmarks.</w:t>
      </w:r>
    </w:p>
    <w:p>
      <w:pPr>
        <w:spacing w:after="120" w:line="276"/>
        <w:jc w:val="both"/>
      </w:pPr>
      <w:r>
        <w:t xml:space="preserve">Se contrasta el desempeño del sistema con TWAP y VWAP, con el fin de verificar si efectivamente existe una reducción del costo de ejecución y una mejora en la calidad de la fragmentación de órdenes.</w:t>
      </w:r>
    </w:p>
    <w:p>
      <w:pPr>
        <w:spacing w:after="120" w:line="276"/>
        <w:jc w:val="both"/>
      </w:pPr>
      <w:r>
        <w:rPr>
          <w:b/>
          <w:bCs/>
        </w:rPr>
        <w:t xml:space="preserve">Etapa 6: Validación, análisis de resultados y cierre del proyecto</w:t>
      </w:r>
    </w:p>
    <w:p>
      <w:pPr>
        <w:spacing w:after="120" w:line="276"/>
        <w:jc w:val="both"/>
      </w:pPr>
      <w:r>
        <w:t xml:space="preserve">La última etapa se orienta a interpretar lo construido y comprobar si el prototipo cumple con lo que se propuso desde el inicio. No se trata solo de mostrar que el sistema funciona, sino de demostrar en qué medida ayuda a reducir el ‘Slippage’ bajo condiciones simuladas y que limitaciones conserva frente a escenarios reales.</w:t>
      </w:r>
    </w:p>
    <w:p>
      <w:pPr>
        <w:pStyle w:val="ListParagraph"/>
        <w:numPr>
          <w:ilvl w:val="0"/>
          <w:numId w:val="2"/>
        </w:numPr>
        <w:spacing w:after="60" w:line="276"/>
        <w:jc w:val="both"/>
      </w:pPr>
      <w:r>
        <w:rPr>
          <w:b/>
          <w:bCs/>
        </w:rPr>
        <w:t xml:space="preserve">Fase 1: Análisis de métricas.</w:t>
      </w:r>
    </w:p>
    <w:p>
      <w:pPr>
        <w:spacing w:after="120" w:line="276"/>
        <w:jc w:val="both"/>
      </w:pPr>
      <w:r>
        <w:t xml:space="preserve">Se analizan indicadores como slippage, </w:t>
      </w:r>
      <w:r>
        <w:t xml:space="preserve">implementation</w:t>
      </w:r>
      <w:r>
        <w:t xml:space="preserve"> shortfall, costo promedio de ejecución, porcentaje de cumplimiento de la meta-orden y estabilidad del aprendizaje.</w:t>
      </w:r>
    </w:p>
    <w:p>
      <w:pPr>
        <w:pStyle w:val="ListParagraph"/>
        <w:numPr>
          <w:ilvl w:val="0"/>
          <w:numId w:val="2"/>
        </w:numPr>
        <w:spacing w:after="60" w:line="276"/>
        <w:jc w:val="both"/>
      </w:pPr>
      <w:r>
        <w:rPr>
          <w:b/>
          <w:bCs/>
        </w:rPr>
        <w:t xml:space="preserve">Fase 2: Discusión de resultados.</w:t>
      </w:r>
    </w:p>
    <w:p>
      <w:pPr>
        <w:spacing w:after="120" w:line="276"/>
        <w:jc w:val="both"/>
      </w:pPr>
      <w:r>
        <w:t xml:space="preserve">Se interpretan los resultados en relación con el problema planteado, considerando qué tan útil resultó la arquitectura de agentes y qué tan robusto fue el comportamiento del modelo frente a distintos escenarios.</w:t>
      </w:r>
    </w:p>
    <w:p>
      <w:pPr>
        <w:pStyle w:val="ListParagraph"/>
        <w:numPr>
          <w:ilvl w:val="0"/>
          <w:numId w:val="2"/>
        </w:numPr>
        <w:spacing w:after="60" w:line="276"/>
        <w:jc w:val="both"/>
      </w:pPr>
      <w:r>
        <w:rPr>
          <w:b/>
          <w:bCs/>
        </w:rPr>
        <w:t xml:space="preserve">Fase 3: Redacción de conclusiones.</w:t>
      </w:r>
    </w:p>
    <w:p>
      <w:pPr>
        <w:spacing w:after="120" w:line="276"/>
        <w:jc w:val="both"/>
      </w:pPr>
      <w:r>
        <w:t xml:space="preserve">Se sintetizan los hallazgos principales, se establece si los objetivos se cumplieron y se indica de manera clara qué limitaciones quedan abiertas para una futura extensión del proyecto.</w:t>
      </w:r>
    </w:p>
    <w:p>
      <w:pPr>
        <w:pStyle w:val="ListParagraph"/>
        <w:numPr>
          <w:ilvl w:val="0"/>
          <w:numId w:val="2"/>
        </w:numPr>
        <w:spacing w:after="60" w:line="276"/>
        <w:jc w:val="both"/>
      </w:pPr>
      <w:r>
        <w:rPr>
          <w:b/>
          <w:bCs/>
        </w:rPr>
        <w:t xml:space="preserve">Fase 4: Formulación de mejoras futuras.</w:t>
      </w:r>
    </w:p>
    <w:p>
      <w:pPr>
        <w:spacing w:after="120" w:line="276"/>
        <w:jc w:val="both"/>
      </w:pPr>
      <w:r>
        <w:t xml:space="preserve">Se proponen líneas de trabajo posteriores, como integrar mayor profundidad de mercado, ampliar el universo de activos o explorar variantes más avanzadas de coordinación multiagente.</w:t>
      </w:r>
    </w:p>
    <w:p>
      <w:pPr>
        <w:pStyle w:val="Heading1"/>
      </w:pPr>
      <w:r>
        <w:t xml:space="preserve">8. RECURSOS</w:t>
      </w:r>
    </w:p>
    <w:p>
      <w:pPr>
        <w:pStyle w:val="Heading2"/>
      </w:pPr>
      <w:r>
        <w:t xml:space="preserve">8.1 Recursos Humanos</w:t>
      </w:r>
    </w:p>
    <w:p>
      <w:pPr>
        <w:spacing w:after="120" w:line="276"/>
        <w:jc w:val="both"/>
      </w:pPr>
      <w:r>
        <w:t xml:space="preserve">El equipo de desarrollo del proyecto está conformado por tres integrantes de la Escuela de Informática y Computación de la Universidad Tecnológica Metropolitana (UTEM), con roles complementarios que cubren las áreas estratégica, de inteligencia artificial y de microestructura de mercado:</w:t>
      </w:r>
    </w:p>
    <w:p>
      <w:pPr>
        <w:keepNext/>
        <w:spacing w:after="80" w:before="160"/>
        <w:jc w:val="left"/>
      </w:pPr>
      <w:r>
        <w:rPr>
          <w:b/>
          <w:bCs/>
          <w:color w:val="1E2761"/>
          <w:sz w:val="20"/>
          <w:szCs w:val="20"/>
        </w:rPr>
        <w:t xml:space="preserve">Tabla 2: Integrantes y rol designado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2615"/>
        <w:gridCol w:w="5061"/>
      </w:tblGrid>
      <w:tr>
        <w:trPr>
          <w:cantSplit/>
          <w:tblHeader/>
        </w:trPr>
        <w:tc>
          <w:tcPr>
            <w:tcW w:type="dxa" w:w="135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Integrante</w:t>
            </w:r>
          </w:p>
        </w:tc>
        <w:tc>
          <w:tcPr>
            <w:tcW w:type="dxa" w:w="2615"/>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Rol Principal</w:t>
            </w:r>
          </w:p>
        </w:tc>
        <w:tc>
          <w:tcPr>
            <w:tcW w:type="dxa" w:w="5061"/>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Área de Responsabilidad</w:t>
            </w:r>
          </w:p>
        </w:tc>
      </w:tr>
      <w:tr>
        <w:trPr>
          <w:cantSplit/>
          <w:tblHeader w:val="off"/>
        </w:trPr>
        <w:tc>
          <w:tcPr>
            <w:tcW w:type="dxa" w:w="135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Paolo Sepúlveda</w:t>
            </w:r>
          </w:p>
        </w:tc>
        <w:tc>
          <w:tcPr>
            <w:tcW w:type="dxa" w:w="2615"/>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Gestión y Fundamentos</w:t>
            </w:r>
          </w:p>
        </w:tc>
        <w:tc>
          <w:tcPr>
            <w:tcW w:type="dxa" w:w="5061"/>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Planificación estratégica, descripción del sistema multi-agente y PPO, objetivos y plan de trabajo.</w:t>
            </w:r>
          </w:p>
        </w:tc>
      </w:tr>
      <w:tr>
        <w:trPr>
          <w:cantSplit/>
          <w:tblHeader w:val="off"/>
        </w:trPr>
        <w:tc>
          <w:tcPr>
            <w:tcW w:type="dxa" w:w="135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Mauricio Reynoso</w:t>
            </w:r>
          </w:p>
        </w:tc>
        <w:tc>
          <w:tcPr>
            <w:tcW w:type="dxa" w:w="2615"/>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Arquitectura IA</w:t>
            </w:r>
          </w:p>
        </w:tc>
        <w:tc>
          <w:tcPr>
            <w:tcW w:type="dxa" w:w="5061"/>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Diseño técnico de los agentes, metodología de entrenamiento, arquitectura neuronal y software de RL.</w:t>
            </w:r>
          </w:p>
        </w:tc>
      </w:tr>
      <w:tr>
        <w:trPr>
          <w:cantSplit/>
          <w:tblHeader w:val="off"/>
        </w:trPr>
        <w:tc>
          <w:tcPr>
            <w:tcW w:type="dxa" w:w="135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Benjamin Farias </w:t>
            </w:r>
          </w:p>
        </w:tc>
        <w:tc>
          <w:tcPr>
            <w:tcW w:type="dxa" w:w="2615"/>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Entorno de Mercado y Estructura</w:t>
            </w:r>
          </w:p>
        </w:tc>
        <w:tc>
          <w:tcPr>
            <w:tcW w:type="dxa" w:w="5061"/>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Modelado del LOB, datos financieros del IPSA, simulación de mercado, recursos de hardware y bibliografía.</w:t>
            </w:r>
          </w:p>
        </w:tc>
      </w:tr>
    </w:tbl>
    <w:p>
      <w:pPr>
        <w:spacing w:after="100"/>
      </w:pPr>
    </w:p>
    <w:p>
      <w:pPr>
        <w:spacing w:after="120" w:line="276"/>
        <w:jc w:val="both"/>
      </w:pPr>
      <w:r>
        <w:t xml:space="preserve">La supervisión académica del proyecto estará a cargo del Profesor Guía asignado por la Escuela, quien orientará las decisiones técnicas más relevantes, evaluará los avances en los hitos definidos y validará la coherencia metodológica del trabajo de título.</w:t>
      </w:r>
    </w:p>
    <w:p>
      <w:pPr>
        <w:pStyle w:val="Heading2"/>
      </w:pPr>
      <w:r>
        <w:t xml:space="preserve">8.2 Recursos de Hardware</w:t>
      </w:r>
    </w:p>
    <w:p>
      <w:pPr>
        <w:spacing w:after="120" w:line="276"/>
        <w:jc w:val="both"/>
      </w:pPr>
      <w:r>
        <w:t xml:space="preserve">El entrenamiento de redes neuronales profundas mediante Aprendizaje por Refuerzo es una tarea computacionalmente intensiva. A continuación se detallan los requerimientos de hardware para el desarrollo del proyecto:</w:t>
      </w:r>
    </w:p>
    <w:p>
      <w:pPr>
        <w:keepNext/>
        <w:spacing w:after="80" w:before="160"/>
        <w:jc w:val="left"/>
      </w:pPr>
      <w:r>
        <w:rPr>
          <w:b/>
          <w:bCs/>
          <w:color w:val="1E2761"/>
          <w:sz w:val="20"/>
          <w:szCs w:val="20"/>
        </w:rPr>
        <w:t xml:space="preserve">Tabla 3: Hardware óptimo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7"/>
        <w:gridCol w:w="3445"/>
        <w:gridCol w:w="4134"/>
      </w:tblGrid>
      <w:tr>
        <w:trPr>
          <w:cantSplit/>
          <w:tblHeader/>
        </w:trPr>
        <w:tc>
          <w:tcPr>
            <w:tcW w:type="dxa" w:w="1447"/>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Recurso</w:t>
            </w:r>
          </w:p>
        </w:tc>
        <w:tc>
          <w:tcPr>
            <w:tcW w:type="dxa" w:w="3445"/>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Especificación Mínima Recomendada</w:t>
            </w:r>
          </w:p>
        </w:tc>
        <w:tc>
          <w:tcPr>
            <w:tcW w:type="dxa" w:w="4134"/>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spacing w:after="20"/>
              <w:jc w:val="left"/>
            </w:pPr>
            <w:r>
              <w:rPr>
                <w:b/>
                <w:bCs/>
                <w:color w:val="FFFFFF"/>
                <w:sz w:val="19"/>
                <w:szCs w:val="19"/>
              </w:rPr>
              <w:t xml:space="preserve">Propósito en el Proyecto</w:t>
            </w:r>
          </w:p>
        </w:tc>
      </w:tr>
      <w:tr>
        <w:trPr>
          <w:cantSplit/>
          <w:tblHeader w:val="off"/>
        </w:trPr>
        <w:tc>
          <w:tcPr>
            <w:tcW w:type="dxa" w:w="1447"/>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Procesador (CPU)</w:t>
            </w:r>
          </w:p>
        </w:tc>
        <w:tc>
          <w:tcPr>
            <w:tcW w:type="dxa" w:w="3445"/>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Intel Core i5 / AMD Ryzen 7 (8+ núcleos)</w:t>
            </w:r>
          </w:p>
        </w:tc>
        <w:tc>
          <w:tcPr>
            <w:tcW w:type="dxa" w:w="413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Ejecución del simulador de mercado, preprocesamiento y carga de datos.</w:t>
            </w:r>
          </w:p>
        </w:tc>
      </w:tr>
      <w:tr>
        <w:trPr>
          <w:cantSplit/>
          <w:tblHeader w:val="off"/>
        </w:trPr>
        <w:tc>
          <w:tcPr>
            <w:tcW w:type="dxa" w:w="1447"/>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Memoria RAM</w:t>
            </w:r>
          </w:p>
        </w:tc>
        <w:tc>
          <w:tcPr>
            <w:tcW w:type="dxa" w:w="3445"/>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32 GB DDR4 o superior</w:t>
            </w:r>
          </w:p>
        </w:tc>
        <w:tc>
          <w:tcPr>
            <w:tcW w:type="dxa" w:w="413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Almacenamiento en memoria de los datos del LOB y los buffers de experiencia del agente (Replay Buffer).</w:t>
            </w:r>
          </w:p>
        </w:tc>
      </w:tr>
      <w:tr>
        <w:trPr>
          <w:cantSplit/>
          <w:tblHeader w:val="off"/>
        </w:trPr>
        <w:tc>
          <w:tcPr>
            <w:tcW w:type="dxa" w:w="1447"/>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Tarjeta Gráfica (GPU)</w:t>
            </w:r>
          </w:p>
        </w:tc>
        <w:tc>
          <w:tcPr>
            <w:tcW w:type="dxa" w:w="3445"/>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NVIDIA RTX 3080 / RTX 4070 o superior (8+ GB VRAM)</w:t>
            </w:r>
          </w:p>
        </w:tc>
        <w:tc>
          <w:tcPr>
            <w:tcW w:type="dxa" w:w="413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Entrenamiento paralelo de las redes neuronales del Agente Maestro y los Agentes Ejecutores mediante CUDA.</w:t>
            </w:r>
          </w:p>
        </w:tc>
      </w:tr>
      <w:tr>
        <w:trPr>
          <w:cantSplit/>
          <w:tblHeader w:val="off"/>
        </w:trPr>
        <w:tc>
          <w:tcPr>
            <w:tcW w:type="dxa" w:w="1447"/>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Almacenamiento</w:t>
            </w:r>
          </w:p>
        </w:tc>
        <w:tc>
          <w:tcPr>
            <w:tcW w:type="dxa" w:w="3445"/>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SSD NVMe de 500 GB o superior</w:t>
            </w:r>
          </w:p>
        </w:tc>
        <w:tc>
          <w:tcPr>
            <w:tcW w:type="dxa" w:w="4134"/>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spacing w:after="20"/>
              <w:jc w:val="left"/>
            </w:pPr>
            <w:r>
              <w:rPr>
                <w:sz w:val="19"/>
                <w:szCs w:val="19"/>
              </w:rPr>
              <w:t xml:space="preserve">Acceso rápido a los conjuntos de datos históricos del IPSA (ticks, LOB snapshots).</w:t>
            </w:r>
          </w:p>
        </w:tc>
      </w:tr>
      <w:tr>
        <w:trPr>
          <w:cantSplit/>
          <w:tblHeader w:val="off"/>
        </w:trPr>
        <w:tc>
          <w:tcPr>
            <w:tcW w:type="dxa" w:w="1447"/>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Conectividad</w:t>
            </w:r>
          </w:p>
        </w:tc>
        <w:tc>
          <w:tcPr>
            <w:tcW w:type="dxa" w:w="3445"/>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Red de alta velocidad (100 Mbps+)</w:t>
            </w:r>
          </w:p>
        </w:tc>
        <w:tc>
          <w:tcPr>
            <w:tcW w:type="dxa" w:w="4134"/>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spacing w:after="20"/>
              <w:jc w:val="left"/>
            </w:pPr>
            <w:r>
              <w:rPr>
                <w:sz w:val="19"/>
                <w:szCs w:val="19"/>
              </w:rPr>
              <w:t xml:space="preserve">Descarga de datos financieros históricos y sincronización con entornos de entrenamiento remotos (ej. Google Colab, AWS).</w:t>
            </w:r>
          </w:p>
        </w:tc>
      </w:tr>
    </w:tbl>
    <w:p>
      <w:pPr>
        <w:spacing w:after="100"/>
      </w:pPr>
    </w:p>
    <w:p>
      <w:pPr>
        <w:spacing w:after="120" w:line="276"/>
        <w:jc w:val="both"/>
      </w:pPr>
      <w:r>
        <w:t xml:space="preserve">En caso de que el hardware local de los integrantes no sea suficiente para las etapas de entrenamiento más exigentes, se contempla el uso de recursos de cómputo en la nube. Haremos uso de plataformas que nos permitan escalar el entrenamiento sin inversión en infraestructura física adicional, y representan una alternativa viable y de bajo costo para la etapa de entrenamiento intensivo correspondiente al Título II.</w:t>
      </w:r>
    </w:p>
    <w:p>
      <w:pPr>
        <w:pStyle w:val="Heading2"/>
      </w:pPr>
      <w:r>
        <w:t xml:space="preserve">8.3 Recursos de Software</w:t>
      </w:r>
    </w:p>
    <w:p>
      <w:pPr>
        <w:spacing w:after="120" w:line="276"/>
        <w:jc w:val="both"/>
      </w:pPr>
      <w:r>
        <w:t xml:space="preserve">El desarrollo del proyecto requiere de determinadas herramientas de software para el procesamiento de datos financieros, simulación de entornos, implementación de modelos de aprendizaje por refuerzo y evaluación de resultados. Debido a esto, haremos uso de los siguientes recursos de software:</w:t>
      </w:r>
    </w:p>
    <w:p>
      <w:pPr>
        <w:spacing w:after="120" w:line="276"/>
        <w:jc w:val="both"/>
      </w:pPr>
      <w:r>
        <w:rPr>
          <w:b/>
          <w:bCs/>
        </w:rPr>
        <w:t xml:space="preserve">Lenguaje de programación principal</w:t>
      </w:r>
    </w:p>
    <w:p>
      <w:pPr>
        <w:spacing w:after="120" w:line="276"/>
        <w:jc w:val="both"/>
      </w:pPr>
      <w:r>
        <w:t xml:space="preserve">Se utilizará Python como lenguaje base del proyecto, debido a su amplio ecosistema en ciencia de datos, aprendizaje automático y simulación. Su flexibilidad permite integrar tanto el procesamiento de datos como la implementación de modelos de inteligencia artificial en un mismo entorno.</w:t>
      </w:r>
    </w:p>
    <w:p>
      <w:pPr>
        <w:spacing w:after="120" w:line="276"/>
        <w:jc w:val="both"/>
      </w:pPr>
      <w:r>
        <w:rPr>
          <w:b/>
          <w:bCs/>
        </w:rPr>
        <w:t xml:space="preserve">Librerías de aprendizaje automático y deep learning</w:t>
      </w:r>
    </w:p>
    <w:p>
      <w:pPr>
        <w:spacing w:after="120" w:line="276"/>
        <w:jc w:val="both"/>
      </w:pPr>
      <w:r>
        <w:t xml:space="preserve">Se empleará PyTorch como framework principal para la implementación de redes neuronales y del algoritmo PPO. Esta herramienta permite un control detallado del proceso de entrenamiento y facilita la construcción de arquitecturas personalizadas, lo cual es fundamental para el diseño del sistema multiagente.</w:t>
      </w:r>
    </w:p>
    <w:p>
      <w:pPr>
        <w:spacing w:after="120" w:line="276"/>
        <w:jc w:val="both"/>
      </w:pPr>
      <w:r>
        <w:rPr>
          <w:b/>
          <w:bCs/>
        </w:rPr>
        <w:t xml:space="preserve">Librerías de aprendizaje por refuerzo</w:t>
      </w:r>
    </w:p>
    <w:p>
      <w:pPr>
        <w:spacing w:after="120" w:line="276"/>
        <w:jc w:val="both"/>
      </w:pPr>
      <w:r>
        <w:t xml:space="preserve">Se utilizarán librerías complementarias como Gymnasium (o entornos compatibles tipo </w:t>
      </w:r>
      <w:r>
        <w:t xml:space="preserve">OpenAI</w:t>
      </w:r>
      <w:r>
        <w:t xml:space="preserve"> Gym) para estructurar el entorno de entrenamiento, permitiendo definir estados, acciones y recompensas de forma estandarizada. En caso de ser necesario, se desarrollarán entornos personalizados adaptados al comportamiento del mercado IPSA.</w:t>
      </w:r>
    </w:p>
    <w:p>
      <w:pPr>
        <w:spacing w:after="120" w:line="276"/>
        <w:jc w:val="both"/>
      </w:pPr>
      <w:r>
        <w:rPr>
          <w:b/>
          <w:bCs/>
        </w:rPr>
        <w:t xml:space="preserve">Procesamiento y análisis de datos</w:t>
      </w:r>
    </w:p>
    <w:p>
      <w:pPr>
        <w:spacing w:after="120" w:line="276"/>
        <w:jc w:val="both"/>
      </w:pPr>
      <w:r>
        <w:t xml:space="preserve">Para la manipulación y análisis de datos históricos se utilizarán herramientas como Pandas y NumPy, las cuales permiten trabajar con grandes volúmenes de datos financieros, realizar transformaciones y preparar los insumos necesarios para el entrenamiento del modelo.</w:t>
      </w:r>
    </w:p>
    <w:p>
      <w:pPr>
        <w:spacing w:after="120" w:line="276"/>
        <w:jc w:val="both"/>
      </w:pPr>
      <w:r>
        <w:rPr>
          <w:b/>
          <w:bCs/>
        </w:rPr>
        <w:t xml:space="preserve">Visualización de datos</w:t>
      </w:r>
    </w:p>
    <w:p>
      <w:pPr>
        <w:spacing w:after="120" w:line="276"/>
        <w:jc w:val="both"/>
      </w:pPr>
      <w:r>
        <w:t xml:space="preserve">Se emplearán librerías como Matplotlib y Seaborn para la visualización de resultados, permitiendo analizar el comportamiento del modelo, comparar estrategias de ejecución y representar métricas como slippage o costos de ejecución.</w:t>
      </w:r>
    </w:p>
    <w:p>
      <w:pPr>
        <w:spacing w:after="120" w:line="276"/>
        <w:jc w:val="both"/>
      </w:pPr>
      <w:r>
        <w:rPr>
          <w:b/>
          <w:bCs/>
        </w:rPr>
        <w:t xml:space="preserve">Entorno de desarrollo</w:t>
      </w:r>
    </w:p>
    <w:p>
      <w:pPr>
        <w:spacing w:after="120" w:line="276"/>
        <w:jc w:val="both"/>
      </w:pPr>
      <w:r>
        <w:t xml:space="preserve">El desarrollo se realizará en Visual Studio Code, el cual proporciona herramientas de depuración, gestión de proyectos y extensiones orientadas a Python. Además, se utilizará Git para el control de versiones y la gestión colaborativa del código. </w:t>
      </w:r>
    </w:p>
    <w:p>
      <w:pPr>
        <w:spacing w:after="120" w:line="276"/>
        <w:jc w:val="both"/>
      </w:pPr>
      <w:r>
        <w:rPr>
          <w:b/>
          <w:bCs/>
        </w:rPr>
        <w:t xml:space="preserve">Plataformas de cómputo y entrenamiento</w:t>
      </w:r>
    </w:p>
    <w:p>
      <w:pPr>
        <w:spacing w:after="120" w:line="276"/>
        <w:jc w:val="both"/>
      </w:pPr>
      <w:r>
        <w:t xml:space="preserve">Para el entrenamiento de los modelos, se considerará el uso de plataformas como Google Colab y servicios en la nube (por ejemplo, AWS), especialmente en etapas donde se requiera mayor capacidad de cómputo. </w:t>
      </w:r>
    </w:p>
    <w:p>
      <w:pPr>
        <w:pStyle w:val="Heading1"/>
      </w:pPr>
      <w:r>
        <w:t xml:space="preserve">9. ESTRUCTURA INFORME FINAL</w:t>
      </w:r>
    </w:p>
    <w:p>
      <w:pPr>
        <w:spacing w:after="120" w:line="276"/>
        <w:jc w:val="both"/>
      </w:pPr>
      <w:r>
        <w:t xml:space="preserve">El informe final del proyecto se organizará de manera coherente con el desarrollo técnico y metodológico propuesto, permitiendo presentar de forma clara tanto los fundamentos teóricos como la implementación y validación del sistema. </w:t>
      </w:r>
    </w:p>
    <w:p>
      <w:pPr>
        <w:spacing w:after="120" w:line="276"/>
        <w:jc w:val="both"/>
      </w:pPr>
      <w:r>
        <w:rPr>
          <w:b/>
          <w:bCs/>
        </w:rPr>
        <w:t xml:space="preserve">Capítulo 1: Introducción</w:t>
      </w:r>
    </w:p>
    <w:p>
      <w:pPr>
        <w:spacing w:after="120" w:line="276"/>
        <w:jc w:val="both"/>
      </w:pPr>
      <w:r>
        <w:t xml:space="preserve">Se presenta el contexto del problema, la relevancia del slippage en el mercado accionario chileno y la motivación del uso de inteligencia artificial. Se incluyen los objetivos del proyecto y una visión general de la solución propuesta.</w:t>
      </w:r>
    </w:p>
    <w:p>
      <w:pPr>
        <w:spacing w:after="120" w:line="276"/>
        <w:jc w:val="both"/>
      </w:pPr>
      <w:r>
        <w:rPr>
          <w:b/>
          <w:bCs/>
        </w:rPr>
        <w:t xml:space="preserve">Capítulo 2: Marco teórico y Estado del arte</w:t>
      </w:r>
    </w:p>
    <w:p>
      <w:pPr>
        <w:spacing w:after="120" w:line="276"/>
        <w:jc w:val="both"/>
      </w:pPr>
      <w:r>
        <w:t xml:space="preserve">Se desarrollan los conceptos fundamentales relacionados con la microestructura de mercado, el libro de órdenes (LOB), slippage, implementation shortfall y estrategias tradicionales de ejecución. Además, se revisa el estado del arte en aprendizaje por refuerzo, PPO y sistemas multiagente aplicados a finanzas.</w:t>
      </w:r>
    </w:p>
    <w:p>
      <w:pPr>
        <w:spacing w:after="120" w:line="276"/>
        <w:jc w:val="both"/>
      </w:pPr>
      <w:r>
        <w:rPr>
          <w:b/>
          <w:bCs/>
        </w:rPr>
        <w:t xml:space="preserve">Capítulo 3: Definición del Problema y Análisis del Entorno</w:t>
      </w:r>
    </w:p>
    <w:p>
      <w:pPr>
        <w:spacing w:after="120" w:line="276"/>
        <w:jc w:val="both"/>
      </w:pPr>
      <w:r>
        <w:t xml:space="preserve">Se describe el problema de ejecución de órdenes en el contexto del IPSA, incluyendo el análisis de datos de mercado, características de liquidez y comportamiento del entorno. Se formaliza el problema como un proceso de decisión, definiendo estados, acciones y objetivos.</w:t>
      </w:r>
    </w:p>
    <w:p>
      <w:pPr>
        <w:spacing w:after="120" w:line="276"/>
        <w:jc w:val="both"/>
      </w:pPr>
      <w:r>
        <w:rPr>
          <w:b/>
          <w:bCs/>
        </w:rPr>
        <w:t xml:space="preserve">Capítulo 4: Diseño de la Solución</w:t>
      </w:r>
    </w:p>
    <w:p>
      <w:pPr>
        <w:spacing w:after="120" w:line="276"/>
        <w:jc w:val="both"/>
      </w:pPr>
      <w:r>
        <w:t xml:space="preserve">Se presenta la arquitectura del sistema, incluyendo el diseño del Agente Maestro y los Agentes Ejecutores, la estructura del entorno de simulación y la definición de la función de recompensa. Se detallan las decisiones técnicas adoptadas.</w:t>
      </w:r>
    </w:p>
    <w:p>
      <w:pPr>
        <w:spacing w:after="120" w:line="276"/>
        <w:jc w:val="both"/>
      </w:pPr>
      <w:r>
        <w:rPr>
          <w:b/>
          <w:bCs/>
        </w:rPr>
        <w:t xml:space="preserve">Capítulo 5: Implementación del Sistema</w:t>
      </w:r>
    </w:p>
    <w:p>
      <w:pPr>
        <w:spacing w:after="120" w:line="276"/>
        <w:jc w:val="both"/>
      </w:pPr>
      <w:r>
        <w:t xml:space="preserve">Se describe el desarrollo del prototipo, incluyendo la construcción del simulador, la implementación del modelo en PyTorch, la integración de los agentes y la configuración del entorno de entrenamiento.</w:t>
      </w:r>
    </w:p>
    <w:p>
      <w:pPr>
        <w:spacing w:after="120" w:line="276"/>
        <w:jc w:val="both"/>
      </w:pPr>
      <w:r>
        <w:rPr>
          <w:b/>
          <w:bCs/>
        </w:rPr>
        <w:t xml:space="preserve">Capítulo 6: Entrenamiento y Experimentación</w:t>
      </w:r>
    </w:p>
    <w:p>
      <w:pPr>
        <w:spacing w:after="120" w:line="276"/>
        <w:jc w:val="both"/>
      </w:pPr>
      <w:r>
        <w:t xml:space="preserve">Se detallan los procesos de entrenamiento, ajuste de </w:t>
      </w:r>
      <w:r>
        <w:t xml:space="preserve">hiperparámetros</w:t>
      </w:r>
      <w:r>
        <w:t xml:space="preserve"> y ejecución de experimentos. Se describen los escenarios de prueba y la metodología de evaluación utilizada.</w:t>
      </w:r>
    </w:p>
    <w:p>
      <w:pPr>
        <w:spacing w:after="120" w:line="276"/>
        <w:jc w:val="both"/>
      </w:pPr>
      <w:r>
        <w:rPr>
          <w:b/>
          <w:bCs/>
        </w:rPr>
        <w:t xml:space="preserve">Capítulo 7: Resultados y Evaluación</w:t>
      </w:r>
    </w:p>
    <w:p>
      <w:pPr>
        <w:spacing w:after="120" w:line="276"/>
        <w:jc w:val="both"/>
      </w:pPr>
      <w:r>
        <w:t xml:space="preserve">Se presentan los resultados obtenidos, incluyendo comparaciones con estrategias tradicionales como TWAP y VWAP. Se analizan métricas de desempeño como slippage, costos de ejecución y eficiencia del modelo.</w:t>
      </w:r>
    </w:p>
    <w:p>
      <w:pPr>
        <w:spacing w:after="120" w:line="276"/>
        <w:jc w:val="both"/>
      </w:pPr>
      <w:r>
        <w:rPr>
          <w:b/>
          <w:bCs/>
        </w:rPr>
        <w:t xml:space="preserve">Capítulo 8: Discusión y Análisi Crítico</w:t>
      </w:r>
    </w:p>
    <w:p>
      <w:pPr>
        <w:spacing w:after="120" w:line="276"/>
        <w:jc w:val="both"/>
      </w:pPr>
      <w:r>
        <w:t xml:space="preserve">Se interpretan los resultados en profundidad, evaluando el comportamiento del sistema, sus fortalezas y aspectos a mejorar. Se discute la aplicabilidad del modelo en contextos reales.</w:t>
      </w:r>
    </w:p>
    <w:p>
      <w:pPr>
        <w:spacing w:after="120" w:line="276"/>
        <w:jc w:val="both"/>
      </w:pPr>
      <w:r>
        <w:rPr>
          <w:b/>
          <w:bCs/>
        </w:rPr>
        <w:t xml:space="preserve">Capítulo 9: Conclusiones y Trabajo Futuro</w:t>
      </w:r>
    </w:p>
    <w:p>
      <w:pPr>
        <w:spacing w:after="120" w:line="276"/>
        <w:jc w:val="both"/>
      </w:pPr>
      <w:r>
        <w:t xml:space="preserve">Se sintetizan los principales hallazgos del proyecto, se evalúa el cumplimiento de los objetivos y se proponen posibles extensiones o mejoras del sistema. </w:t>
      </w:r>
    </w:p>
    <w:p>
      <w:pPr>
        <w:pStyle w:val="Heading1"/>
      </w:pPr>
      <w:r>
        <w:t xml:space="preserve">10. PLAN DE TRABAJO</w:t>
      </w:r>
    </w:p>
    <w:p>
      <w:pPr>
        <w:pStyle w:val="Heading2"/>
      </w:pPr>
      <w:r>
        <w:t xml:space="preserve">10.1 Metodología</w:t>
      </w:r>
    </w:p>
    <w:p>
      <w:pPr>
        <w:spacing w:after="120" w:line="276"/>
        <w:jc w:val="both"/>
      </w:pPr>
      <w:r>
        <w:t xml:space="preserve">Se utilizará la metodología SCRUM con el motivo de gestionar el desarrollo del proyecto. Esto se fundamenta en la necesidad de realizar entregas incrementales y ajustes constantes en los modelos de aprendizaje por refuerzo.</w:t>
      </w:r>
    </w:p>
    <w:p>
      <w:pPr>
        <w:pStyle w:val="ListParagraph"/>
        <w:numPr>
          <w:ilvl w:val="0"/>
          <w:numId w:val="2"/>
        </w:numPr>
        <w:spacing w:after="60" w:line="276"/>
        <w:jc w:val="both"/>
      </w:pPr>
      <w:r>
        <w:t xml:space="preserve">Sprints: Se trabajarán en ciclos de 2 a 3 semanas.</w:t>
      </w:r>
    </w:p>
    <w:p>
      <w:pPr>
        <w:pStyle w:val="ListParagraph"/>
        <w:numPr>
          <w:ilvl w:val="0"/>
          <w:numId w:val="2"/>
        </w:numPr>
        <w:spacing w:after="60" w:line="276"/>
        <w:jc w:val="both"/>
      </w:pPr>
      <w:r>
        <w:t xml:space="preserve">Roles: se dividirán en tareas semanales acorde al tamaño del grupo del proyecto</w:t>
      </w:r>
    </w:p>
    <w:p>
      <w:pPr>
        <w:pStyle w:val="ListParagraph"/>
        <w:numPr>
          <w:ilvl w:val="0"/>
          <w:numId w:val="2"/>
        </w:numPr>
        <w:spacing w:after="60" w:line="276"/>
        <w:jc w:val="both"/>
      </w:pPr>
      <w:r>
        <w:t xml:space="preserve">Eventos: Se realizarán sprint plannings para definir las metas que se deberán cumplir en el tiempo que corresponda, Daily stand-ups para sincronizar las tareas diarias del equipo.</w:t>
      </w:r>
    </w:p>
    <w:p>
      <w:pPr>
        <w:pStyle w:val="Heading2"/>
      </w:pPr>
      <w:r>
        <w:t xml:space="preserve">10.2 Plan de Hitos y planificación semestral</w:t>
      </w:r>
    </w:p>
    <w:p>
      <w:pPr>
        <w:spacing w:after="120" w:line="276"/>
        <w:jc w:val="both"/>
      </w:pPr>
      <w:r>
        <w:t xml:space="preserve">Título 1: fase de diseño y product backlog inicial (Primer Semestre 2026)</w:t>
      </w:r>
    </w:p>
    <w:p>
      <w:pPr>
        <w:spacing w:after="120" w:line="276"/>
        <w:jc w:val="both"/>
      </w:pPr>
      <w:r>
        <w:t xml:space="preserve">El foco de esta fase es la investigación, la arquitectura y la preparación del entorno para el entrenamiento.</w:t>
      </w:r>
    </w:p>
    <w:p>
      <w:pPr>
        <w:pStyle w:val="ListParagraph"/>
        <w:numPr>
          <w:ilvl w:val="0"/>
          <w:numId w:val="2"/>
        </w:numPr>
        <w:spacing w:after="60" w:line="276"/>
        <w:jc w:val="both"/>
      </w:pPr>
      <w:r>
        <w:t xml:space="preserve">Hito 1: Estado del Arte y Marco Regulatorio (Semanas 1-4): Investigación exhaustiva sobre microestructura del mercado chileno, normativa de la Bolsa de Santiago y revisión de literatura sobre algoritmos de ejecución algorítmica tradicionales.</w:t>
      </w:r>
    </w:p>
    <w:p>
      <w:pPr>
        <w:pStyle w:val="ListParagraph"/>
        <w:numPr>
          <w:ilvl w:val="0"/>
          <w:numId w:val="2"/>
        </w:numPr>
        <w:spacing w:after="60" w:line="276"/>
        <w:jc w:val="both"/>
      </w:pPr>
      <w:r>
        <w:t xml:space="preserve">Hito 2: Definición de la Arquitectura de IA (Semanas 5-8): Modelamiento teórico de la jerarquía Maestro-Ejecutor. Definición formal de los espacios de estado, acción y la estructura de la función de recompensa basada en PPO.</w:t>
      </w:r>
    </w:p>
    <w:p>
      <w:pPr>
        <w:pStyle w:val="ListParagraph"/>
        <w:numPr>
          <w:ilvl w:val="0"/>
          <w:numId w:val="2"/>
        </w:numPr>
        <w:spacing w:after="60" w:line="276"/>
        <w:jc w:val="both"/>
      </w:pPr>
      <w:r>
        <w:t xml:space="preserve">Hito 3: Diseño del Modelo de Simulación y Datos (Semanas 9-14): Especificación técnica de cómo se procesarán los datos del LOB y diseño lógico del simulador de mercado (diagramas de flujo y arquitectura de datos).</w:t>
      </w:r>
    </w:p>
    <w:p>
      <w:pPr>
        <w:pStyle w:val="ListParagraph"/>
        <w:numPr>
          <w:ilvl w:val="0"/>
          <w:numId w:val="2"/>
        </w:numPr>
        <w:spacing w:after="60" w:line="276"/>
        <w:jc w:val="both"/>
      </w:pPr>
      <w:r>
        <w:t xml:space="preserve">Hito 4: Presentación Teórica y Defensa de Título 1 (Semana 18): Entrega del informe con el marco teórico completo, la metodología Scrum definida y la planificación técnica para el desarrollo.</w:t>
      </w:r>
    </w:p>
    <w:p>
      <w:pPr>
        <w:spacing w:after="120" w:line="276"/>
        <w:jc w:val="both"/>
      </w:pPr>
      <w:r>
        <w:t xml:space="preserve">Título 2: Desarrollo, Implementación y defensa final (Segundo Semestre 2026)</w:t>
      </w:r>
    </w:p>
    <w:p>
      <w:pPr>
        <w:spacing w:after="120" w:line="276"/>
        <w:jc w:val="both"/>
      </w:pPr>
      <w:r>
        <w:t xml:space="preserve">Se centra en la fase de desarrollo del proyecto, donde se construye la solución y se hace defensa del título.</w:t>
      </w:r>
    </w:p>
    <w:p>
      <w:pPr>
        <w:pStyle w:val="ListParagraph"/>
        <w:numPr>
          <w:ilvl w:val="0"/>
          <w:numId w:val="2"/>
        </w:numPr>
        <w:spacing w:after="60" w:line="276"/>
        <w:jc w:val="both"/>
      </w:pPr>
      <w:r>
        <w:t xml:space="preserve">Hito 5: Construcción del Entorno de Simulación (Semanas 1-4): Implementación del simulador en Python y carga de los datos históricos del mercado chileno.</w:t>
      </w:r>
    </w:p>
    <w:p>
      <w:pPr>
        <w:pStyle w:val="ListParagraph"/>
        <w:numPr>
          <w:ilvl w:val="0"/>
          <w:numId w:val="2"/>
        </w:numPr>
        <w:spacing w:after="60" w:line="276"/>
        <w:jc w:val="both"/>
      </w:pPr>
      <w:r>
        <w:t xml:space="preserve">Hito 6: Desarrollo y Entrenamiento de Agentes (Semanas 5-10): Programación de las redes neuronales en </w:t>
      </w:r>
      <w:r>
        <w:t xml:space="preserve">PyTorch</w:t>
      </w:r>
      <w:r>
        <w:t xml:space="preserve">, integración de los agentes y ejecución de las fases de aprendizaje por refuerzo.</w:t>
      </w:r>
    </w:p>
    <w:p>
      <w:pPr>
        <w:pStyle w:val="ListParagraph"/>
        <w:numPr>
          <w:ilvl w:val="0"/>
          <w:numId w:val="2"/>
        </w:numPr>
        <w:spacing w:after="60" w:line="276"/>
        <w:jc w:val="both"/>
      </w:pPr>
      <w:r>
        <w:t xml:space="preserve">Hito 7: Validación y Pruebas de Desempeño (Semanas 11-14): Comparación de resultados frente a modelos estáticos para validar la reducción del </w:t>
      </w:r>
      <w:r>
        <w:rPr>
          <w:i/>
          <w:iCs/>
        </w:rPr>
        <w:t xml:space="preserve">Slippage</w:t>
      </w:r>
      <w:r>
        <w:t xml:space="preserve">.</w:t>
      </w:r>
    </w:p>
    <w:p>
      <w:pPr>
        <w:pStyle w:val="ListParagraph"/>
        <w:numPr>
          <w:ilvl w:val="0"/>
          <w:numId w:val="2"/>
        </w:numPr>
        <w:spacing w:after="60" w:line="276"/>
        <w:jc w:val="both"/>
      </w:pPr>
      <w:r>
        <w:t xml:space="preserve">Hito 8: Memoria y Examen de Título (Semanas 15-18): Finalización del informe final, entrega del software listo y defensa ante la comisión examinadora.</w:t>
      </w:r>
    </w:p>
    <w:p>
      <w:pPr>
        <w:pStyle w:val="Heading1"/>
      </w:pPr>
      <w:r>
        <w:t xml:space="preserve">11. BIBLIOGRAFÍA</w:t>
      </w:r>
    </w:p>
    <w:p>
      <w:pPr>
        <w:spacing w:after="120" w:line="276"/>
        <w:jc w:val="both"/>
      </w:pPr>
      <w:r>
        <w:rPr>
          <w:b/>
          <w:bCs/>
          <w:i/>
          <w:iCs/>
        </w:rPr>
        <w:t xml:space="preserve">Microestructura de Mercado y Libro de Órdenes</w:t>
      </w:r>
    </w:p>
    <w:p>
      <w:pPr>
        <w:spacing w:after="120" w:line="276"/>
        <w:jc w:val="both"/>
      </w:pPr>
      <w:r>
        <w:rPr>
          <w:i/>
          <w:iCs/>
        </w:rPr>
        <w:t xml:space="preserve">Glosten, L. R., &amp; Milgrom, P. R. (1985). Bid, ask and transaction prices in a specialist market with heterogeneously informed traders. Journal of Financial Economics, 14(1), 71–100.</w:t>
      </w:r>
      <w:hyperlink w:history="1" r:id="rIdiua9qs-t2uy5_otwnb5p_">
        <w:r>
          <w:rPr>
            <w:i/>
            <w:iCs/>
            <w:color w:val="0563C1"/>
            <w:u w:val="single"/>
          </w:rPr>
          <w:t xml:space="preserve"> </w:t>
        </w:r>
      </w:hyperlink>
      <w:hyperlink w:history="1" r:id="rIdaamstpxgf9exslljkflvi">
        <w:r>
          <w:rPr>
            <w:i/>
            <w:iCs/>
            <w:color w:val="0563C1"/>
            <w:u w:val="single"/>
          </w:rPr>
          <w:t xml:space="preserve">https://doi.org/10.1016/0304-405X(85)90044-3</w:t>
        </w:r>
      </w:hyperlink>
    </w:p>
    <w:p>
      <w:pPr>
        <w:spacing w:after="120" w:line="276"/>
        <w:jc w:val="both"/>
      </w:pPr>
      <w:r>
        <w:rPr>
          <w:i/>
          <w:iCs/>
        </w:rPr>
        <w:t xml:space="preserve">Gould, M. D., Porter, M. A., Williams, S., McDonald, M., Fenn, D. J., &amp; Howison, S. D. (2013). Limit order books. Quantitative Finance, 13(11), 1709–1741.</w:t>
      </w:r>
      <w:hyperlink w:history="1" r:id="rId3ewdzuis8pfr_4oynlb-2">
        <w:r>
          <w:rPr>
            <w:i/>
            <w:iCs/>
            <w:color w:val="0563C1"/>
            <w:u w:val="single"/>
          </w:rPr>
          <w:t xml:space="preserve"> </w:t>
        </w:r>
      </w:hyperlink>
      <w:hyperlink w:history="1" r:id="rId8pzkdgpasmcwbz6mwr10v">
        <w:r>
          <w:rPr>
            <w:i/>
            <w:iCs/>
            <w:color w:val="0563C1"/>
            <w:u w:val="single"/>
          </w:rPr>
          <w:t xml:space="preserve">https://doi.org/10.1080/14697688.2013.803148</w:t>
        </w:r>
      </w:hyperlink>
    </w:p>
    <w:p>
      <w:pPr>
        <w:spacing w:after="120" w:line="276"/>
        <w:jc w:val="both"/>
      </w:pPr>
      <w:r>
        <w:rPr>
          <w:i/>
          <w:iCs/>
        </w:rPr>
        <w:t xml:space="preserve">Hasbrouck, J. (1991). Measuring the information content of stock trades. Journal of Finance, 46(1), 179–207.</w:t>
      </w:r>
      <w:hyperlink w:history="1" r:id="rIdun5idpnbqw5pbc2ky66lx">
        <w:r>
          <w:rPr>
            <w:i/>
            <w:iCs/>
            <w:color w:val="0563C1"/>
            <w:u w:val="single"/>
          </w:rPr>
          <w:t xml:space="preserve"> </w:t>
        </w:r>
      </w:hyperlink>
      <w:hyperlink w:history="1" r:id="rIdez4yk38kknto6arzovyto">
        <w:r>
          <w:rPr>
            <w:i/>
            <w:iCs/>
            <w:color w:val="0563C1"/>
            <w:u w:val="single"/>
          </w:rPr>
          <w:t xml:space="preserve">https://doi.org/10.1111/j.1540-6261.1991.tb03749.x</w:t>
        </w:r>
      </w:hyperlink>
    </w:p>
    <w:p>
      <w:pPr>
        <w:spacing w:after="120" w:line="276"/>
        <w:jc w:val="both"/>
      </w:pPr>
      <w:r>
        <w:rPr>
          <w:i/>
          <w:iCs/>
        </w:rPr>
        <w:t xml:space="preserve">Kyle, A. S. (1985). Continuous auctions and insider trading. Econometrica, 53(6), 1315–1335.</w:t>
      </w:r>
      <w:hyperlink w:history="1" r:id="rIdo-gtrfh_f4im6ivvvu2in">
        <w:r>
          <w:rPr>
            <w:i/>
            <w:iCs/>
            <w:color w:val="0563C1"/>
            <w:u w:val="single"/>
          </w:rPr>
          <w:t xml:space="preserve"> </w:t>
        </w:r>
      </w:hyperlink>
      <w:hyperlink w:history="1" r:id="rIdkouxuipsn-6dg6ymlnv9x">
        <w:r>
          <w:rPr>
            <w:i/>
            <w:iCs/>
            <w:color w:val="0563C1"/>
            <w:u w:val="single"/>
          </w:rPr>
          <w:t xml:space="preserve">https://doi.org/10.2307/1913210</w:t>
        </w:r>
      </w:hyperlink>
    </w:p>
    <w:p>
      <w:pPr>
        <w:spacing w:after="120" w:line="276"/>
        <w:jc w:val="both"/>
      </w:pPr>
      <w:r>
        <w:rPr>
          <w:i/>
          <w:iCs/>
        </w:rPr>
        <w:t xml:space="preserve">Parlour, C. A. (1998). Price dynamics in limit order markets. The Review of Financial Studies, 11(4), 789–816.</w:t>
      </w:r>
      <w:hyperlink w:history="1" r:id="rIdfk0tgv9bp_iehpwe8sbhe">
        <w:r>
          <w:rPr>
            <w:i/>
            <w:iCs/>
            <w:color w:val="0563C1"/>
            <w:u w:val="single"/>
          </w:rPr>
          <w:t xml:space="preserve"> </w:t>
        </w:r>
      </w:hyperlink>
      <w:hyperlink w:history="1" r:id="rIdcuo6nb4bssywzuqg1qjqw">
        <w:r>
          <w:rPr>
            <w:i/>
            <w:iCs/>
            <w:color w:val="0563C1"/>
            <w:u w:val="single"/>
          </w:rPr>
          <w:t xml:space="preserve">https://doi.org/10.1093/rfs/11.4.789</w:t>
        </w:r>
      </w:hyperlink>
    </w:p>
    <w:p>
      <w:pPr>
        <w:spacing w:after="120" w:line="276"/>
        <w:jc w:val="both"/>
      </w:pPr>
      <w:r>
        <w:rPr>
          <w:i/>
          <w:iCs/>
        </w:rPr>
        <w:t xml:space="preserve">Rocsu, I. (2009). A dynamic model of the limit order book. The Review of Financial Studies, 22(11), 4601–4641.</w:t>
      </w:r>
      <w:hyperlink w:history="1" r:id="rIdze8xosxlgyeganoyfursa">
        <w:r>
          <w:rPr>
            <w:i/>
            <w:iCs/>
            <w:color w:val="0563C1"/>
            <w:u w:val="single"/>
          </w:rPr>
          <w:t xml:space="preserve"> </w:t>
        </w:r>
      </w:hyperlink>
      <w:hyperlink w:history="1" r:id="rIdqch23guzaratb94gqleoy">
        <w:r>
          <w:rPr>
            <w:i/>
            <w:iCs/>
            <w:color w:val="0563C1"/>
            <w:u w:val="single"/>
          </w:rPr>
          <w:t xml:space="preserve">https://doi.org/10.1093/rfs/hhp011</w:t>
        </w:r>
      </w:hyperlink>
    </w:p>
    <w:p>
      <w:pPr>
        <w:spacing w:after="120" w:line="276"/>
        <w:jc w:val="both"/>
      </w:pPr>
      <w:r>
        <w:rPr>
          <w:b/>
          <w:bCs/>
          <w:i/>
          <w:iCs/>
        </w:rPr>
        <w:t xml:space="preserve">Slippage e Implementation Shortfall</w:t>
      </w:r>
    </w:p>
    <w:p>
      <w:pPr>
        <w:spacing w:after="120" w:line="276"/>
        <w:jc w:val="both"/>
      </w:pPr>
      <w:r>
        <w:rPr>
          <w:i/>
          <w:iCs/>
        </w:rPr>
        <w:t xml:space="preserve">Almgren, R., &amp; Chriss, N. (2001). Optimal execution of portfolio transactions. Journal of Risk, 3(2), 5–39.</w:t>
      </w:r>
      <w:hyperlink w:history="1" r:id="rId9bhubu4x-m_teo_6vucnn">
        <w:r>
          <w:rPr>
            <w:i/>
            <w:iCs/>
            <w:color w:val="0563C1"/>
            <w:u w:val="single"/>
          </w:rPr>
          <w:t xml:space="preserve"> </w:t>
        </w:r>
      </w:hyperlink>
      <w:hyperlink w:history="1" r:id="rIdmet9icfo23c9mo4wf0ult">
        <w:r>
          <w:rPr>
            <w:i/>
            <w:iCs/>
            <w:color w:val="0563C1"/>
            <w:u w:val="single"/>
          </w:rPr>
          <w:t xml:space="preserve">https://doi.org/10.21314/JOR.2001.041</w:t>
        </w:r>
      </w:hyperlink>
    </w:p>
    <w:p>
      <w:pPr>
        <w:spacing w:after="120" w:line="276"/>
        <w:jc w:val="both"/>
      </w:pPr>
      <w:r>
        <w:rPr>
          <w:i/>
          <w:iCs/>
        </w:rPr>
        <w:t xml:space="preserve">Almgren, R. F. (2003). Optimal execution with nonlinear impact functions and trading-enhanced risk. Applied Mathematical Finance, 10(1), 1–18.</w:t>
      </w:r>
      <w:hyperlink w:history="1" r:id="rIdo5ou3tqk55cfe4rozjkrc">
        <w:r>
          <w:rPr>
            <w:i/>
            <w:iCs/>
            <w:color w:val="0563C1"/>
            <w:u w:val="single"/>
          </w:rPr>
          <w:t xml:space="preserve"> </w:t>
        </w:r>
      </w:hyperlink>
      <w:hyperlink w:history="1" r:id="rIdrfxtlpabgvugomhanfa3y">
        <w:r>
          <w:rPr>
            <w:i/>
            <w:iCs/>
            <w:color w:val="0563C1"/>
            <w:u w:val="single"/>
          </w:rPr>
          <w:t xml:space="preserve">https://doi.org/10.1080/135048602100056327</w:t>
        </w:r>
      </w:hyperlink>
    </w:p>
    <w:p>
      <w:pPr>
        <w:spacing w:after="120" w:line="276"/>
        <w:jc w:val="both"/>
      </w:pPr>
      <w:r>
        <w:rPr>
          <w:i/>
          <w:iCs/>
        </w:rPr>
        <w:t xml:space="preserve">Kato, T. (2016). Optimality of VWAP execution strategies under general shaped market impact functions. arXiv:1605.03683.</w:t>
      </w:r>
      <w:hyperlink w:history="1" r:id="rIdr4ehuk7tvrhahpisp8opp">
        <w:r>
          <w:rPr>
            <w:i/>
            <w:iCs/>
            <w:color w:val="0563C1"/>
            <w:u w:val="single"/>
          </w:rPr>
          <w:t xml:space="preserve"> </w:t>
        </w:r>
      </w:hyperlink>
      <w:hyperlink w:history="1" r:id="rIde1wb2q_a2eujqwpc8e5wb">
        <w:r>
          <w:rPr>
            <w:i/>
            <w:iCs/>
            <w:color w:val="0563C1"/>
            <w:u w:val="single"/>
          </w:rPr>
          <w:t xml:space="preserve">https://arxiv.org/abs/1605.03683</w:t>
        </w:r>
      </w:hyperlink>
    </w:p>
    <w:p>
      <w:pPr>
        <w:spacing w:after="120" w:line="276"/>
        <w:jc w:val="both"/>
      </w:pPr>
      <w:r>
        <w:rPr>
          <w:i/>
          <w:iCs/>
        </w:rPr>
        <w:t xml:space="preserve">Perold, A. F. (1988). The implementation shortfall: Paper versus reality. Journal of Portfolio Management, 14(3), 4–9.</w:t>
      </w:r>
      <w:hyperlink w:history="1" r:id="rIdw51usku76zgu6uphfb6yw">
        <w:r>
          <w:rPr>
            <w:i/>
            <w:iCs/>
            <w:color w:val="0563C1"/>
            <w:u w:val="single"/>
          </w:rPr>
          <w:t xml:space="preserve"> </w:t>
        </w:r>
      </w:hyperlink>
      <w:hyperlink w:history="1" r:id="rIde1k-eu3n6selsvidv8n-k">
        <w:r>
          <w:rPr>
            <w:i/>
            <w:iCs/>
            <w:color w:val="0563C1"/>
            <w:u w:val="single"/>
          </w:rPr>
          <w:t xml:space="preserve">https://doi.org/10.3905/jpm.1988.409150</w:t>
        </w:r>
      </w:hyperlink>
    </w:p>
    <w:p>
      <w:pPr>
        <w:spacing w:after="120" w:line="276"/>
        <w:jc w:val="both"/>
      </w:pPr>
      <w:r>
        <w:rPr>
          <w:b/>
          <w:bCs/>
          <w:i/>
          <w:iCs/>
        </w:rPr>
        <w:t xml:space="preserve">Aprendizaje por Refuerzo en Finanzas</w:t>
      </w:r>
    </w:p>
    <w:p>
      <w:pPr>
        <w:spacing w:after="120" w:line="276"/>
        <w:jc w:val="both"/>
      </w:pPr>
      <w:r>
        <w:rPr>
          <w:i/>
          <w:iCs/>
        </w:rPr>
        <w:t xml:space="preserve">Kolm, P. N., &amp; Ritter, G. (2019). Dynamic replication and hedging: A reinforcement learning approach. Journal of Financial Data Science, 1(1), 159–171.</w:t>
      </w:r>
      <w:hyperlink w:history="1" r:id="rIdb-nrivkxlqrykmb-crudz">
        <w:r>
          <w:rPr>
            <w:i/>
            <w:iCs/>
            <w:color w:val="0563C1"/>
            <w:u w:val="single"/>
          </w:rPr>
          <w:t xml:space="preserve"> </w:t>
        </w:r>
      </w:hyperlink>
      <w:hyperlink w:history="1" r:id="rIdoldzkgxkgtx-iby8ngmvt">
        <w:r>
          <w:rPr>
            <w:i/>
            <w:iCs/>
            <w:color w:val="0563C1"/>
            <w:u w:val="single"/>
          </w:rPr>
          <w:t xml:space="preserve">https://doi.org/10.3905/jfds.2019.1.1.159</w:t>
        </w:r>
      </w:hyperlink>
    </w:p>
    <w:p>
      <w:pPr>
        <w:spacing w:after="120" w:line="276"/>
        <w:jc w:val="both"/>
      </w:pPr>
      <w:r>
        <w:rPr>
          <w:i/>
          <w:iCs/>
        </w:rPr>
        <w:t xml:space="preserve">Lin, F. H., &amp; Beling, P. A. (2020). An end-to-end optimal trade execution framework based on proximal policy optimization with LSTM. En Proceedings of the Twenty-Ninth International Joint Conference on Artificial Intelligence (pp. 4695–4701). IJCAI.</w:t>
      </w:r>
    </w:p>
    <w:p>
      <w:pPr>
        <w:spacing w:after="120" w:line="276"/>
        <w:jc w:val="both"/>
      </w:pPr>
      <w:r>
        <w:rPr>
          <w:i/>
          <w:iCs/>
        </w:rPr>
        <w:t xml:space="preserve">Nevmyvaka, Y., Feng, Y., &amp; Kearns, M. (2006). Reinforcement learning for optimized trade execution. En Proceedings of the 23rd International Conference on Machine Learning (pp. 673–680). ACM.</w:t>
      </w:r>
      <w:hyperlink w:history="1" r:id="rId_cg7qgura8dfy0pfzm3ec">
        <w:r>
          <w:rPr>
            <w:i/>
            <w:iCs/>
            <w:color w:val="0563C1"/>
            <w:u w:val="single"/>
          </w:rPr>
          <w:t xml:space="preserve"> </w:t>
        </w:r>
      </w:hyperlink>
      <w:hyperlink w:history="1" r:id="rIdxqccreiq-csa9xsry_byl">
        <w:r>
          <w:rPr>
            <w:i/>
            <w:iCs/>
            <w:color w:val="0563C1"/>
            <w:u w:val="single"/>
          </w:rPr>
          <w:t xml:space="preserve">https://doi.org/10.1145/1143844.1143929</w:t>
        </w:r>
      </w:hyperlink>
    </w:p>
    <w:p>
      <w:pPr>
        <w:spacing w:after="120" w:line="276"/>
        <w:jc w:val="both"/>
      </w:pPr>
      <w:r>
        <w:rPr>
          <w:i/>
          <w:iCs/>
        </w:rPr>
        <w:t xml:space="preserve">Ning, B., Lin, F. H., &amp; Jaimungal, S. (2021). Double deep Q-learning for optimal execution. Applied Mathematical Finance, 28(2), 98–124.</w:t>
      </w:r>
      <w:hyperlink w:history="1" r:id="rIdb3ffwsyesmivmdjvvblpe">
        <w:r>
          <w:rPr>
            <w:i/>
            <w:iCs/>
            <w:color w:val="0563C1"/>
            <w:u w:val="single"/>
          </w:rPr>
          <w:t xml:space="preserve"> </w:t>
        </w:r>
      </w:hyperlink>
      <w:hyperlink w:history="1" r:id="rIdxvh6yilcnsz2af_j2is5_">
        <w:r>
          <w:rPr>
            <w:i/>
            <w:iCs/>
            <w:color w:val="0563C1"/>
            <w:u w:val="single"/>
          </w:rPr>
          <w:t xml:space="preserve">https://doi.org/10.1080/1350486X.2021.1913724</w:t>
        </w:r>
      </w:hyperlink>
    </w:p>
    <w:p>
      <w:pPr>
        <w:spacing w:after="120" w:line="276"/>
        <w:jc w:val="both"/>
      </w:pPr>
      <w:r>
        <w:rPr>
          <w:i/>
          <w:iCs/>
        </w:rPr>
        <w:t xml:space="preserve">Schulman, J., Wolski, F., Dhariwal, P., Radford, A., &amp; Klimov, O. (2017). Proximal policy optimization algorithms. arXiv:1707.06347.</w:t>
      </w:r>
      <w:hyperlink w:history="1" r:id="rId3sped8o3pxn6nfuly67xf">
        <w:r>
          <w:rPr>
            <w:i/>
            <w:iCs/>
            <w:color w:val="0563C1"/>
            <w:u w:val="single"/>
          </w:rPr>
          <w:t xml:space="preserve"> </w:t>
        </w:r>
      </w:hyperlink>
      <w:hyperlink w:history="1" r:id="rIdh0dxb02qjeylaxssbvkjw">
        <w:r>
          <w:rPr>
            <w:i/>
            <w:iCs/>
            <w:color w:val="0563C1"/>
            <w:u w:val="single"/>
          </w:rPr>
          <w:t xml:space="preserve">https://arxiv.org/abs/1707.06347</w:t>
        </w:r>
      </w:hyperlink>
    </w:p>
    <w:p>
      <w:pPr>
        <w:spacing w:after="120" w:line="276"/>
        <w:jc w:val="both"/>
      </w:pPr>
      <w:r>
        <w:rPr>
          <w:b/>
          <w:bCs/>
          <w:i/>
          <w:iCs/>
        </w:rPr>
        <w:t xml:space="preserve">Sistemas Multi-Agente y Coordinación</w:t>
      </w:r>
    </w:p>
    <w:p>
      <w:pPr>
        <w:spacing w:after="120" w:line="276"/>
        <w:jc w:val="both"/>
      </w:pPr>
      <w:r>
        <w:rPr>
          <w:i/>
          <w:iCs/>
        </w:rPr>
        <w:t xml:space="preserve">Lowe, R., Wu, Y., Tamar, A., Harb, J., Abbeel, P., &amp; Mordatch, I. (2017). Multi-agent actor-critic for mixed cooperative-competitive environments. En Advances in Neural Information Processing Systems (Vol. 30, pp. 6379–6390). Curran Associates. </w:t>
      </w:r>
      <w:hyperlink w:history="1" r:id="rIdbbzix7qmxnnmvadxxyqzc">
        <w:r>
          <w:rPr>
            <w:i/>
            <w:iCs/>
            <w:color w:val="0563C1"/>
            <w:u w:val="single"/>
          </w:rPr>
          <w:t xml:space="preserve">https://arxiv.org/abs/1706.02275</w:t>
        </w:r>
      </w:hyperlink>
      <w:r>
        <w:rPr>
          <w:i/>
          <w:iCs/>
        </w:rPr>
        <w:t xml:space="preserve">  </w:t>
      </w:r>
    </w:p>
    <w:p>
      <w:pPr>
        <w:spacing w:after="120" w:line="276"/>
        <w:jc w:val="both"/>
      </w:pPr>
      <w:r>
        <w:rPr>
          <w:i/>
          <w:iCs/>
        </w:rPr>
        <w:t xml:space="preserve">Rashid, T., Samvelyan, M., de Witt, C. S., Farquhar, G., Foerster, J., &amp; Whiteson, S. (2018). QMIX: Monotonic value function factorisation for deep multi-agent reinforcement learning. En Proceedings of the 35th International Conference on Machine Learning (pp. 4295–4304). PMLR. </w:t>
      </w:r>
      <w:hyperlink w:history="1" r:id="rIdzuf-w-npktywkyn5uvfx3">
        <w:r>
          <w:rPr>
            <w:i/>
            <w:iCs/>
            <w:color w:val="0563C1"/>
            <w:u w:val="single"/>
          </w:rPr>
          <w:t xml:space="preserve">https://arxiv.org/abs/1803.11485</w:t>
        </w:r>
      </w:hyperlink>
      <w:r>
        <w:rPr>
          <w:i/>
          <w:iCs/>
        </w:rPr>
        <w:t xml:space="preserve"> </w:t>
      </w:r>
    </w:p>
    <w:p>
      <w:pPr>
        <w:spacing w:after="120" w:line="276"/>
        <w:jc w:val="both"/>
      </w:pPr>
      <w:r>
        <w:rPr>
          <w:b/>
          <w:bCs/>
          <w:i/>
          <w:iCs/>
        </w:rPr>
        <w:t xml:space="preserve">Mercado Chileno (IPSA) y Liquidez</w:t>
      </w:r>
    </w:p>
    <w:p>
      <w:pPr>
        <w:spacing w:after="120" w:line="276"/>
        <w:jc w:val="both"/>
      </w:pPr>
      <w:r>
        <w:rPr>
          <w:i/>
          <w:iCs/>
        </w:rPr>
        <w:t xml:space="preserve">Arenas, M., &amp; Busta, C. (2022). Determinantes de la liquidez bursátil en Chile: Análisis del IPSA 2010–2022. Revista de Análisis Económico, 37(2), 45–78.</w:t>
      </w:r>
      <w:hyperlink w:history="1" r:id="rIdlzwcacerjfkj0gz5u4sne">
        <w:r>
          <w:rPr>
            <w:i/>
            <w:iCs/>
            <w:color w:val="0563C1"/>
            <w:u w:val="single"/>
          </w:rPr>
          <w:t xml:space="preserve"> </w:t>
        </w:r>
      </w:hyperlink>
      <w:hyperlink w:history="1" r:id="rIdm6unybzv3vyu4oqkc3vhh">
        <w:r>
          <w:rPr>
            <w:i/>
            <w:iCs/>
            <w:color w:val="0563C1"/>
            <w:u w:val="single"/>
          </w:rPr>
          <w:t xml:space="preserve">https://doi.org/10.4067/S0718-88702022000200045</w:t>
        </w:r>
      </w:hyperlink>
    </w:p>
    <w:p>
      <w:pPr>
        <w:spacing w:after="120" w:line="276"/>
        <w:jc w:val="both"/>
      </w:pPr>
      <w:r>
        <w:rPr>
          <w:i/>
          <w:iCs/>
        </w:rPr>
        <w:t xml:space="preserve">Bolsa de Santiago. (2024). Manual de Operaciones en Acciones. Bolsa de Comercio de Santiago.</w:t>
      </w:r>
      <w:hyperlink w:history="1" r:id="rIdulv9kxrtyxuyyn315vbol">
        <w:r>
          <w:rPr>
            <w:i/>
            <w:iCs/>
            <w:color w:val="0563C1"/>
            <w:u w:val="single"/>
          </w:rPr>
          <w:t xml:space="preserve"> </w:t>
        </w:r>
      </w:hyperlink>
      <w:hyperlink w:history="1" r:id="rIdx8okcxgdx-w2cya9jaaly">
        <w:r>
          <w:rPr>
            <w:i/>
            <w:iCs/>
            <w:color w:val="0563C1"/>
            <w:u w:val="single"/>
          </w:rPr>
          <w:t xml:space="preserve">https://servicioscms.bolsadesantiago.com/Normativas%20Bolsa%20de%20Comercio/Manual%20de%20Operaciones%20en%20Acciones.pdf</w:t>
        </w:r>
      </w:hyperlink>
    </w:p>
    <w:p>
      <w:pPr>
        <w:spacing w:after="120" w:line="276"/>
        <w:jc w:val="both"/>
      </w:pPr>
      <w:r>
        <w:rPr>
          <w:i/>
          <w:iCs/>
        </w:rPr>
        <w:t xml:space="preserve">Comisión para el Mercado Financiero (CMF). (2024). Ley N° 18.045 de Mercado de Valores. CMF Chile.</w:t>
      </w:r>
      <w:hyperlink w:history="1" r:id="rIdlxyok22xc1pkav1nmztqq">
        <w:r>
          <w:rPr>
            <w:i/>
            <w:iCs/>
            <w:color w:val="0563C1"/>
            <w:u w:val="single"/>
          </w:rPr>
          <w:t xml:space="preserve"> </w:t>
        </w:r>
      </w:hyperlink>
      <w:hyperlink w:history="1" r:id="rIdzebhvxswvhaiuv01m4ohm">
        <w:r>
          <w:rPr>
            <w:i/>
            <w:iCs/>
            <w:color w:val="0563C1"/>
            <w:u w:val="single"/>
          </w:rPr>
          <w:t xml:space="preserve">https://www.cmfchile.cl/portal/principal/613/articles-806_doc_pdf.pdf</w:t>
        </w:r>
      </w:hyperlink>
    </w:p>
    <w:p>
      <w:pPr>
        <w:spacing w:after="120" w:line="276"/>
        <w:jc w:val="both"/>
      </w:pPr>
      <w:r>
        <w:rPr>
          <w:i/>
          <w:iCs/>
        </w:rPr>
        <w:t xml:space="preserve">Silva, T., &amp; Durán, G. (2023). Gobernanza corporativa y eficiencia del mercado accionario chileno. Estudios de Administración, 30(1), 12–34.</w:t>
      </w:r>
      <w:hyperlink w:history="1" r:id="rIdlwoirhwi6ue1vq6c4mo-c">
        <w:r>
          <w:rPr>
            <w:i/>
            <w:iCs/>
            <w:color w:val="0563C1"/>
            <w:u w:val="single"/>
          </w:rPr>
          <w:t xml:space="preserve"> </w:t>
        </w:r>
      </w:hyperlink>
      <w:hyperlink w:history="1" r:id="rIdmjljftnwzx_ddt1zjjqof">
        <w:r>
          <w:rPr>
            <w:i/>
            <w:iCs/>
            <w:color w:val="0563C1"/>
            <w:u w:val="single"/>
          </w:rPr>
          <w:t xml:space="preserve">https://doi.org/10.5354/0719-0816.2023.71342</w:t>
        </w:r>
      </w:hyperlink>
    </w:p>
    <w:p>
      <w:pPr>
        <w:spacing w:after="120" w:line="276"/>
        <w:jc w:val="both"/>
      </w:pPr>
      <w:r>
        <w:rPr>
          <w:b/>
          <w:bCs/>
          <w:i/>
          <w:iCs/>
        </w:rPr>
        <w:t xml:space="preserve">Simulación de Mercados y Entornos de Entrenamiento</w:t>
      </w:r>
    </w:p>
    <w:p>
      <w:pPr>
        <w:spacing w:after="120" w:line="276"/>
        <w:jc w:val="both"/>
      </w:pPr>
      <w:r>
        <w:rPr>
          <w:i/>
          <w:iCs/>
        </w:rPr>
        <w:t xml:space="preserve">Byrd, D., Hybinette, M., &amp; Balch, T. H. (2020). ABIDES: Towards high-fidelity market simulation for AI research. En Proceedings of the 1st ACM International Conference on AI in Finance (Article 19). ACM. </w:t>
      </w:r>
      <w:hyperlink w:history="1" r:id="rIdfryjateqotxzq7wlbgux7">
        <w:r>
          <w:rPr>
            <w:i/>
            <w:iCs/>
            <w:color w:val="0563C1"/>
            <w:u w:val="single"/>
          </w:rPr>
          <w:t xml:space="preserve">https://doi.org/10.1145/3383455.3422569</w:t>
        </w:r>
      </w:hyperlink>
      <w:r>
        <w:rPr>
          <w:i/>
          <w:iCs/>
        </w:rPr>
        <w:t xml:space="preserve"> </w:t>
      </w:r>
    </w:p>
    <w:p>
      <w:pPr>
        <w:spacing w:after="120" w:line="276"/>
        <w:jc w:val="both"/>
      </w:pPr>
      <w:r>
        <w:rPr>
          <w:i/>
          <w:iCs/>
        </w:rPr>
        <w:t xml:space="preserve">França, L., &amp; Jaimungal, S. (2022). mbt_gym: Reinforcement learning for model-based limit order book trading. arXiv preprint arXiv:2209.15042. </w:t>
      </w:r>
      <w:hyperlink w:history="1" r:id="rIdz0zicnxt-9v9pt1qga86j">
        <w:r>
          <w:rPr>
            <w:i/>
            <w:iCs/>
            <w:color w:val="0563C1"/>
            <w:u w:val="single"/>
          </w:rPr>
          <w:t xml:space="preserve">https://arxiv.org/abs/2209.15042</w:t>
        </w:r>
      </w:hyperlink>
    </w:p>
    <w:p>
      <w:pPr>
        <w:spacing w:after="120" w:line="276"/>
        <w:jc w:val="both"/>
      </w:pPr>
      <w:r>
        <w:rPr>
          <w:i/>
          <w:iCs/>
        </w:rPr>
        <w:t xml:space="preserve">Cont, R., Stoikov, S., &amp; Talreja, R. (2010). A stochastic model for order book dynamics. Operations Research, 58(3), 549–563. https://doi.org/10.1287/opre.1090.0780</w:t>
      </w:r>
    </w:p>
    <w:p>
      <w:pPr>
        <w:spacing w:after="120" w:line="276"/>
        <w:jc w:val="both"/>
      </w:pPr>
      <w:r>
        <w:rPr>
          <w:i/>
          <w:iCs/>
        </w:rPr>
        <w:t xml:space="preserve">Byrd, D., Hybinette, M., &amp; Balch, T. H. (2020). ABIDES: Towards high-fidelity market simulation for AI research. En Proceedings of the 1st ACM International Conference on AI in Finance (Article 19). ACM. https://doi.org/10.1145/3383455.3422569</w:t>
      </w:r>
    </w:p>
    <w:p>
      <w:pPr>
        <w:spacing w:after="120" w:line="276"/>
        <w:jc w:val="both"/>
      </w:pPr>
      <w:r>
        <w:rPr>
          <w:i/>
          <w:iCs/>
        </w:rPr>
        <w:t xml:space="preserve">Berti, L., et al. (2025). TRADES: Generating realistic market simulations with diffusion models. arXiv:2502.07071. https://arxiv.org/abs/2502.07071</w:t>
      </w:r>
    </w:p>
    <w:p>
      <w:pPr>
        <w:spacing w:after="120" w:line="276"/>
        <w:jc w:val="both"/>
      </w:pPr>
      <w:r>
        <w:rPr>
          <w:i/>
          <w:iCs/>
        </w:rPr>
        <w:t xml:space="preserve">Gould, M. D., Porter, M. A., Williams, S., McDonald, M., Fenn, D. J., &amp; Howison, S. D. (2013). Limit order books. Quantitative Finance, 13(11), 1709–1741. </w:t>
      </w:r>
      <w:hyperlink w:history="1" r:id="rIdija_qorecfj5yg8dn_n3l">
        <w:r>
          <w:rPr>
            <w:i/>
            <w:iCs/>
            <w:color w:val="0563C1"/>
            <w:u w:val="single"/>
          </w:rPr>
          <w:t xml:space="preserve">https://doi.org/10.1080/14697688.2013.803148</w:t>
        </w:r>
      </w:hyperlink>
    </w:p>
    <w:p>
      <w:pPr>
        <w:spacing w:after="120" w:line="276"/>
        <w:jc w:val="both"/>
      </w:pPr>
      <w:r>
        <w:rPr>
          <w:b/>
          <w:bCs/>
          <w:i/>
          <w:iCs/>
        </w:rPr>
        <w:t xml:space="preserve">Librerías y Herramientas de Software</w:t>
      </w:r>
    </w:p>
    <w:p>
      <w:pPr>
        <w:spacing w:after="120" w:line="276"/>
        <w:jc w:val="both"/>
      </w:pPr>
      <w:r>
        <w:rPr>
          <w:i/>
          <w:iCs/>
        </w:rP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En Advances in Neural Information Processing Systems (Vol. 32, pp. 8026–8037). Curran Associates. https://arxiv.org/abs/1912.01703</w:t>
      </w:r>
    </w:p>
    <w:p>
      <w:pPr>
        <w:spacing w:after="120" w:line="276"/>
        <w:jc w:val="both"/>
      </w:pPr>
      <w:r>
        <w:rPr>
          <w:i/>
          <w:iCs/>
        </w:rPr>
        <w:t xml:space="preserve">McKinney, W. (2010). Data structures for statistical computing in Python. En Proceedings of the 9th Python in Science Conference (pp. 56–61). SciPy. https://doi.org/10.25080/Majora-92bf1922-00a</w:t>
      </w:r>
    </w:p>
    <w:p>
      <w:pPr>
        <w:spacing w:after="120" w:line="276"/>
        <w:jc w:val="both"/>
      </w:pPr>
      <w:r>
        <w:rPr>
          <w:i/>
          <w:iCs/>
        </w:rPr>
        <w:t xml:space="preserve">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r>
        <w:br w:type="page"/>
      </w:r>
    </w:p>
    <w:p>
      <w:pPr>
        <w:spacing w:after="120" w:before="3200"/>
        <w:jc w:val="center"/>
      </w:pPr>
      <w:r>
        <w:rPr>
          <w:b/>
          <w:bCs/>
          <w:color w:val="5A6B9C"/>
          <w:sz w:val="28"/>
          <w:szCs w:val="28"/>
        </w:rPr>
        <w:t xml:space="preserve">PARTE II</w:t>
      </w:r>
    </w:p>
    <w:p>
      <w:pPr>
        <w:pStyle w:val="Heading1"/>
        <w:spacing w:after="300" w:before="0"/>
        <w:jc w:val="center"/>
      </w:pPr>
      <w:r>
        <w:rPr>
          <w:b/>
          <w:bCs/>
          <w:color w:val="1E2761"/>
          <w:sz w:val="52"/>
          <w:szCs w:val="52"/>
        </w:rPr>
        <w:t xml:space="preserve">Desarrollo</w:t>
      </w:r>
    </w:p>
    <w:p>
      <w:pPr>
        <w:spacing w:after="0" w:line="300"/>
        <w:ind w:left="900" w:right="900"/>
        <w:jc w:val="center"/>
      </w:pPr>
      <w:r>
        <w:rPr>
          <w:i/>
          <w:iCs/>
          <w:color w:val="5A6B9C"/>
          <w:sz w:val="24"/>
          <w:szCs w:val="24"/>
        </w:rPr>
        <w:t xml:space="preserve">Documenta lo construido, probado y medido durante los sprints 1 a 4: datos, diseño, implementación, validación y resultados parciales. Lo que aún no existe se declara como pendiente.</w:t>
      </w:r>
    </w:p>
    <w:p>
      <w:r>
        <w:br w:type="page"/>
      </w:r>
    </w:p>
    <w:p>
      <w:pPr>
        <w:pStyle w:val="Heading1"/>
      </w:pPr>
      <w:r>
        <w:t xml:space="preserve">Estado general del proyecto</w:t>
      </w:r>
    </w:p>
    <w:p>
      <w:pPr>
        <w:keepNext w:val="false"/>
        <w:spacing w:after="120" w:before="0" w:line="276"/>
        <w:jc w:val="both"/>
      </w:pPr>
      <w:r>
        <w:t xml:space="preserve">Esta segunda parte documenta el desarrollo del sistema propuesto en el anteproyecto (Parte I). Se redactó a partir del repositorio del proyecto (github.com/Vatelfil/slippage), de los reportes versionados y de los resultados de las pruebas ejecutadas hasta el cierre del sprint 4 (acta de cierre del 19 de octubre de 2026 y documentos del repositorio al 22 de octubre). Cada afirmación sobre el funcionamiento del sistema se respalda en código, datos o pruebas que existen en el repositorio; lo que todavía no existe se declara expresamente como pendiente.</w:t>
      </w:r>
    </w:p>
    <w:p>
      <w:pPr>
        <w:keepNext w:val="false"/>
        <w:spacing w:after="120" w:before="0" w:line="276"/>
        <w:jc w:val="both"/>
      </w:pPr>
      <w:r>
        <w:t xml:space="preserve">El proyecto sigue la metodología Scrum con nueve sprints. Los sprints 1 y 2 (alistamiento, pipeline de datos y especificación del entorno) correspondieron a la fase de anteproyecto; los sprints 3 al 9 forman el Título II. A la fecha, los sprints 1 al 4 están cerrados: de las 19 tareas, 10 se cerraron cumpliendo su criterio, 6 quedaron </w:t>
      </w:r>
      <w:r>
        <w:rPr>
          <w:i/>
          <w:iCs/>
        </w:rPr>
        <w:t xml:space="preserve">hechas con límite demostrado</w:t>
      </w:r>
      <w:r>
        <w:t xml:space="preserve"> (se ejecutaron y midieron, y el límite está escrito con su causa) y 3 entregables menores se cerraron en el PR de cierre. Una tarea del sprint 5 (benchmarks TWAP y VWAP) se adelantó porque no dependía de otras entregas. El resto del sprint 5, que está en curso, queda fuera de este informe.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DDE6F7" w:color="auto" w:val="clear"/>
            <w:tcMar>
              <w:top w:type="dxa" w:w="100"/>
              <w:left w:type="dxa" w:w="160"/>
              <w:bottom w:type="dxa" w:w="100"/>
              <w:right w:type="dxa" w:w="160"/>
            </w:tcMar>
          </w:tcPr>
          <w:p>
            <w:pPr>
              <w:spacing w:after="60"/>
            </w:pPr>
            <w:r>
              <w:rPr>
                <w:b/>
                <w:bCs/>
                <w:color w:val="1E2761"/>
                <w:sz w:val="22"/>
                <w:szCs w:val="22"/>
              </w:rPr>
              <w:t xml:space="preserve">Cómo leer esta parte</w:t>
            </w:r>
          </w:p>
          <w:p>
            <w:pPr>
              <w:keepNext/>
              <w:spacing w:after="60" w:line="264"/>
              <w:jc w:val="both"/>
            </w:pPr>
            <w:r>
              <w:rPr>
                <w:sz w:val="21"/>
                <w:szCs w:val="21"/>
              </w:rPr>
              <w:t xml:space="preserve">Los capítulos siguen la estructura del informe final definida en la sección 9 de la Parte I (capítulos 3 al 9). Las secciones o resultados que aún no existen aparecen en recuadros de color y se identifican como </w:t>
            </w:r>
            <w:r>
              <w:rPr>
                <w:b/>
                <w:bCs/>
                <w:sz w:val="21"/>
                <w:szCs w:val="21"/>
              </w:rPr>
              <w:t xml:space="preserve">pendientes</w:t>
            </w:r>
            <w:r>
              <w:rPr>
                <w:sz w:val="21"/>
                <w:szCs w:val="21"/>
              </w:rPr>
              <w:t xml:space="preserve">; no se reemplazan por estimaciones. Las tablas y figuras de esta parte se numeran con el prefijo II (por ejemplo, Tabla II-1).</w:t>
            </w:r>
          </w:p>
        </w:tc>
      </w:tr>
    </w:tbl>
    <w:p>
      <w:pPr>
        <w:spacing w:after="100"/>
      </w:pPr>
    </w:p>
    <w:p>
      <w:pPr>
        <w:keepNext/>
        <w:spacing w:after="80" w:before="160"/>
        <w:jc w:val="left"/>
      </w:pPr>
      <w:r>
        <w:rPr>
          <w:b/>
          <w:bCs/>
          <w:color w:val="1E2761"/>
          <w:sz w:val="20"/>
          <w:szCs w:val="20"/>
        </w:rPr>
        <w:t xml:space="preserve">Tabla II-1. </w:t>
      </w:r>
      <w:r>
        <w:rPr>
          <w:color w:val="1E2761"/>
          <w:sz w:val="20"/>
          <w:szCs w:val="20"/>
        </w:rPr>
        <w:t xml:space="preserve">Estado de los componentes del sistema al cierre del sprint 4 (22 de octubre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4476"/>
      </w:tblGrid>
      <w:tr>
        <w:trPr>
          <w:cantSplit/>
          <w:tblHeader/>
        </w:trPr>
        <w:tc>
          <w:tcPr>
            <w:tcW w:type="dxa" w:w="3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Componente</w:t>
            </w:r>
          </w:p>
        </w:tc>
        <w:tc>
          <w:tcPr>
            <w:tcW w:type="dxa" w:w="155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Estado</w:t>
            </w:r>
          </w:p>
        </w:tc>
        <w:tc>
          <w:tcPr>
            <w:tcW w:type="dxa" w:w="447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Detalle</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Pipeline de datos del IPSA (limpieza y variables)</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30 tickers, velas de 5 minutos, pruebas automáticas.</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Formalización de espacios de estado y acción</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S_M (7), S_E (27), A_M (40) y A_E (240) como espacios Gymnasium.</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Calibración de Poisson por ticker y tramo</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λ⁺, λ⁻ y θ para 30 tickers × 3 tramos; el KS rechaza (límite documentado).</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Simulador de Poisson (alternativa liviana)</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Entorno de prueba local, sin depender de ABIDES; corregido el nivel de precio de las órdenes límite.</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Integración con ABIDES-Gym (Ejecutor)</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Adaptador, fábrica calibrada y episodios completos en los 3 tramos.</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Orquestador Maestro–Ejecutor y redes Actor-Crítico</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Redes reales conectadas (PR #20); falta entrenarlas de forma completa (sprints 5 y 6).</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Algoritmo PPO (L_CLIP y GAE)</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Implementado y probado en corridas cortas (tarea 2.2.1).</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Métricas de ejecución y comparación estadística</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Implementation Shortfall y pruebas Wilcoxon, Kruskal–Wallis y d de Cohen.</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Benchmarks TWAP y VWAP</w:t>
            </w:r>
          </w:p>
        </w:tc>
        <w:tc>
          <w:tcPr>
            <w:tcW w:type="dxa" w:w="155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COMPLETADO</w:t>
            </w:r>
          </w:p>
        </w:tc>
        <w:tc>
          <w:tcPr>
            <w:tcW w:type="dxa" w:w="447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Tarea del sprint 5 adelantada; resultados en el capítulo 6.</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Calibración de rmsc04 con datos del IPSA</w:t>
            </w:r>
          </w:p>
        </w:tc>
        <w:tc>
          <w:tcPr>
            <w:tcW w:type="dxa" w:w="155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c>
          <w:tcPr>
            <w:tcW w:type="dxa" w:w="447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FALABELLA, COPEC y ECL; el KS rechaza; volumen alto y spread bajo como límites.</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Validación estadística del simulador</w:t>
            </w:r>
          </w:p>
        </w:tc>
        <w:tc>
          <w:tcPr>
            <w:tcW w:type="dxa" w:w="155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c>
          <w:tcPr>
            <w:tcW w:type="dxa" w:w="447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Validación formal con 30 semillas: no válido según el criterio literal.</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Recompensas calibradas (λ y β)</w:t>
            </w:r>
          </w:p>
        </w:tc>
        <w:tc>
          <w:tcPr>
            <w:tcW w:type="dxa" w:w="155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c>
          <w:tcPr>
            <w:tcW w:type="dxa" w:w="447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λ = 0,05 y β = 0,0061796, ambos provisionales (β solo en la apertura).</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Entrenamiento PPO completo y evaluación final</w:t>
            </w:r>
          </w:p>
        </w:tc>
        <w:tc>
          <w:tcPr>
            <w:tcW w:type="dxa" w:w="1550"/>
            <w:tcBorders>
              <w:top w:val="single" w:color="B8C2DC" w:sz="4"/>
              <w:left w:val="single" w:color="B8C2DC" w:sz="4"/>
              <w:bottom w:val="single" w:color="B8C2DC" w:sz="4"/>
              <w:right w:val="single" w:color="B8C2DC" w:sz="4"/>
            </w:tcBorders>
            <w:shd w:fill="F9DAD5" w:color="auto" w:val="clear"/>
            <w:tcMar>
              <w:top w:type="dxa" w:w="60"/>
              <w:left w:type="dxa" w:w="100"/>
              <w:bottom w:type="dxa" w:w="60"/>
              <w:right w:type="dxa" w:w="100"/>
            </w:tcMar>
            <w:vAlign w:val="center"/>
          </w:tcPr>
          <w:p>
            <w:pPr>
              <w:keepNext w:val="false"/>
              <w:spacing w:after="20"/>
              <w:jc w:val="center"/>
            </w:pPr>
            <w:r>
              <w:rPr>
                <w:b/>
                <w:bCs/>
                <w:sz w:val="18"/>
                <w:szCs w:val="18"/>
              </w:rPr>
              <w:t xml:space="preserve">PENDIENTE</w:t>
            </w:r>
          </w:p>
        </w:tc>
        <w:tc>
          <w:tcPr>
            <w:tcW w:type="dxa" w:w="447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Sprints 5 al 7 del plan.</w:t>
            </w:r>
          </w:p>
        </w:tc>
      </w:tr>
    </w:tbl>
    <w:p>
      <w:r>
        <w:br w:type="page"/>
      </w:r>
    </w:p>
    <w:p>
      <w:pPr>
        <w:pStyle w:val="Heading1"/>
      </w:pPr>
      <w:r>
        <w:t xml:space="preserve">Capítulo 3. Definición del problema y análisis del entorno</w:t>
      </w:r>
    </w:p>
    <w:p>
      <w:pPr>
        <w:keepNext w:val="false"/>
        <w:spacing w:after="120" w:before="0" w:line="276"/>
        <w:jc w:val="both"/>
      </w:pPr>
      <w:r>
        <w:t xml:space="preserve">Este capítulo describe los datos de mercado sobre los que se construye el sistema, el comportamiento intradiario observado del IPSA y la formalización del problema de ejecución como un proceso de decisión de Markov (MDP) jerárquico.</w:t>
      </w:r>
    </w:p>
    <w:p>
      <w:pPr>
        <w:pStyle w:val="Heading2"/>
      </w:pPr>
      <w:r>
        <w:t xml:space="preserve">3.1 Datos de mercado utilizados</w:t>
      </w:r>
    </w:p>
    <w:p>
      <w:pPr>
        <w:keepNext w:val="false"/>
        <w:spacing w:after="120" w:before="0" w:line="276"/>
        <w:jc w:val="both"/>
      </w:pPr>
      <w:r>
        <w:t xml:space="preserve">Los datos provienen de Yahoo Finance mediante la librería </w:t>
      </w:r>
      <w:r>
        <w:rPr>
          <w:rFonts w:ascii="Courier New" w:cs="Courier New" w:eastAsia="Courier New" w:hAnsi="Courier New"/>
          <w:sz w:val="20"/>
          <w:szCs w:val="20"/>
        </w:rPr>
        <w:t xml:space="preserve">yfinance</w:t>
      </w:r>
      <w:r>
        <w:t xml:space="preserve">: velas OHLCV (apertura, máximo, mínimo, cierre y volumen) de 5 minutos para las 30 acciones del IPSA (tickers con sufijo </w:t>
      </w:r>
      <w:r>
        <w:rPr>
          <w:rFonts w:ascii="Courier New" w:cs="Courier New" w:eastAsia="Courier New" w:hAnsi="Courier New"/>
          <w:sz w:val="20"/>
          <w:szCs w:val="20"/>
        </w:rPr>
        <w:t xml:space="preserve">.SN</w:t>
      </w:r>
      <w:r>
        <w:t xml:space="preserve">). La fuente solo entrega los últimos 60 días en esa resolución, por lo que el pipeline se ejecuta sobre </w:t>
      </w:r>
      <w:r>
        <w:rPr>
          <w:i/>
          <w:iCs/>
        </w:rPr>
        <w:t xml:space="preserve">snapshots</w:t>
      </w:r>
      <w:r>
        <w:t xml:space="preserve"> fechados. Se usan dos: el del 23 de agosto de 2026 (ventana del 28 de mayo al 21 de agosto), sobre el que se calibró el modelo de Poisson, y el del 23 de septiembre de 2026 (30 de junio al 23 de septiembre), usado en la caracterización de mercado y en los benchmarks.</w:t>
      </w:r>
    </w:p>
    <w:p>
      <w:pPr>
        <w:keepNext w:val="false"/>
        <w:spacing w:after="120" w:before="0" w:line="276"/>
        <w:jc w:val="both"/>
      </w:pPr>
      <w:r>
        <w:t xml:space="preserve">El pipeline tiene cuatro etapas, cada una con su script y sus pruebas automáticas:</w:t>
      </w:r>
    </w:p>
    <w:p>
      <w:pPr>
        <w:pStyle w:val="ListParagraph"/>
        <w:numPr>
          <w:ilvl w:val="0"/>
          <w:numId w:val="6"/>
        </w:numPr>
        <w:spacing w:after="60" w:line="276"/>
        <w:jc w:val="both"/>
      </w:pPr>
      <w:r>
        <w:rPr>
          <w:b/>
          <w:bCs/>
        </w:rPr>
        <w:t xml:space="preserve">Validación y descarga.</w:t>
      </w:r>
      <w:r>
        <w:t xml:space="preserve"> Se verifica que los 30 tickers respondan y se descargan las velas de 5 minutos, registrando un manifiesto con los parámetros de la descarga.</w:t>
      </w:r>
    </w:p>
    <w:p>
      <w:pPr>
        <w:pStyle w:val="ListParagraph"/>
        <w:numPr>
          <w:ilvl w:val="0"/>
          <w:numId w:val="6"/>
        </w:numPr>
        <w:spacing w:after="60" w:line="276"/>
        <w:jc w:val="both"/>
      </w:pPr>
      <w:r>
        <w:rPr>
          <w:b/>
          <w:bCs/>
        </w:rPr>
        <w:t xml:space="preserve">Limpieza (tarea 1.2.1).</w:t>
      </w:r>
      <w:r>
        <w:t xml:space="preserve"> Se filtra la sesión de 09:30 a 15:55 (hora de Santiago), se reindexa cada día a una grilla fija de 78 velas, se imputan las velas sin transacción (relleno hacia adelante y hacia atrás) marcándolas con </w:t>
      </w:r>
      <w:r>
        <w:rPr>
          <w:rFonts w:ascii="Courier New" w:cs="Courier New" w:eastAsia="Courier New" w:hAnsi="Courier New"/>
          <w:sz w:val="20"/>
          <w:szCs w:val="20"/>
        </w:rPr>
        <w:t xml:space="preserve">is_imputed</w:t>
      </w:r>
      <w:r>
        <w:t xml:space="preserve">, y se fusiona la vela de las 16:00 (subasta de cierre) con la de las 15:55.</w:t>
      </w:r>
    </w:p>
    <w:p>
      <w:pPr>
        <w:pStyle w:val="ListParagraph"/>
        <w:numPr>
          <w:ilvl w:val="0"/>
          <w:numId w:val="6"/>
        </w:numPr>
        <w:spacing w:after="60" w:line="276"/>
        <w:jc w:val="both"/>
      </w:pPr>
      <w:r>
        <w:rPr>
          <w:b/>
          <w:bCs/>
        </w:rPr>
        <w:t xml:space="preserve">Normalización.</w:t>
      </w:r>
      <w:r>
        <w:t xml:space="preserve"> Se aplica MinMaxScaler por ticker. Las columnas sin normalizar (</w:t>
      </w:r>
      <w:r>
        <w:rPr>
          <w:rFonts w:ascii="Courier New" w:cs="Courier New" w:eastAsia="Courier New" w:hAnsi="Courier New"/>
          <w:sz w:val="20"/>
          <w:szCs w:val="20"/>
        </w:rPr>
        <w:t xml:space="preserve">*_raw</w:t>
      </w:r>
      <w:r>
        <w:t xml:space="preserve">, en pesos y número de acciones) se conservan, porque los cálculos en unidades reales (Implementation Shortfall, calibración de Poisson) deben usarlas.</w:t>
      </w:r>
    </w:p>
    <w:p>
      <w:pPr>
        <w:pStyle w:val="ListParagraph"/>
        <w:numPr>
          <w:ilvl w:val="0"/>
          <w:numId w:val="6"/>
        </w:numPr>
        <w:spacing w:after="60" w:line="276"/>
        <w:jc w:val="both"/>
      </w:pPr>
      <w:r>
        <w:rPr>
          <w:b/>
          <w:bCs/>
        </w:rPr>
        <w:t xml:space="preserve">Variables del Maestro (tarea 1.2.2).</w:t>
      </w:r>
      <w:r>
        <w:t xml:space="preserve"> Se calculan la volatilidad (desviación estándar móvil de 6 velas), el volumen promedio móvil y la sesión, que alimentan el vector de estado S_M.</w:t>
      </w:r>
    </w:p>
    <w:p>
      <w:pPr>
        <w:keepNext w:val="false"/>
        <w:spacing w:after="120" w:before="0" w:line="276"/>
        <w:jc w:val="both"/>
      </w:pPr>
      <w:r>
        <w:t xml:space="preserve">Como medida de calidad se define la </w:t>
      </w:r>
      <w:r>
        <w:rPr>
          <w:b/>
          <w:bCs/>
        </w:rPr>
        <w:t xml:space="preserve">cobertura pre-relleno</w:t>
      </w:r>
      <w:r>
        <w:t xml:space="preserve">: la fracción de velas teóricas en que hubo al menos una transacción real. Los tickers con cobertura de al menos 60 % se clasifican como tier A y el resto como tier B.</w:t>
      </w:r>
    </w:p>
    <w:p>
      <w:pPr>
        <w:keepNext/>
        <w:spacing w:after="80" w:before="160"/>
        <w:jc w:val="left"/>
      </w:pPr>
      <w:r>
        <w:rPr>
          <w:b/>
          <w:bCs/>
          <w:color w:val="1E2761"/>
          <w:sz w:val="20"/>
          <w:szCs w:val="20"/>
        </w:rPr>
        <w:t xml:space="preserve">Tabla II-2. </w:t>
      </w:r>
      <w:r>
        <w:rPr>
          <w:color w:val="1E2761"/>
          <w:sz w:val="20"/>
          <w:szCs w:val="20"/>
        </w:rPr>
        <w:t xml:space="preserve">Resumen de calidad del snapshot del 23 de agosto de 2026 (fuente: reporte de limpieza versionado).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Indicador</w:t>
            </w:r>
          </w:p>
        </w:tc>
        <w:tc>
          <w:tcPr>
            <w:tcW w:type="dxa" w:w="54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Valor</w:t>
            </w:r>
          </w:p>
        </w:tc>
      </w:tr>
      <w:tr>
        <w:trPr>
          <w:cantSplit/>
        </w:trPr>
        <w:tc>
          <w:tcPr>
            <w:tcW w:type="dxa" w:w="3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Tickers procesados</w:t>
            </w:r>
          </w:p>
        </w:tc>
        <w:tc>
          <w:tcPr>
            <w:tcW w:type="dxa" w:w="5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30 (todos responden en Yahoo Finance)</w:t>
            </w:r>
          </w:p>
        </w:tc>
      </w:tr>
      <w:tr>
        <w:trPr>
          <w:cantSplit/>
        </w:trPr>
        <w:tc>
          <w:tcPr>
            <w:tcW w:type="dxa" w:w="3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Días hábiles por ticker</w:t>
            </w:r>
          </w:p>
        </w:tc>
        <w:tc>
          <w:tcPr>
            <w:tcW w:type="dxa" w:w="5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60 (2026-05-28 a 2026-08-21), sin días descartados</w:t>
            </w:r>
          </w:p>
        </w:tc>
      </w:tr>
      <w:tr>
        <w:trPr>
          <w:cantSplit/>
        </w:trPr>
        <w:tc>
          <w:tcPr>
            <w:tcW w:type="dxa" w:w="3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Velas por ticker (78 por día)</w:t>
            </w:r>
          </w:p>
        </w:tc>
        <w:tc>
          <w:tcPr>
            <w:tcW w:type="dxa" w:w="5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4.680; total 140.400 filas</w:t>
            </w:r>
          </w:p>
        </w:tc>
      </w:tr>
      <w:tr>
        <w:trPr>
          <w:cantSplit/>
        </w:trPr>
        <w:tc>
          <w:tcPr>
            <w:tcW w:type="dxa" w:w="3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Clasificación</w:t>
            </w:r>
          </w:p>
        </w:tc>
        <w:tc>
          <w:tcPr>
            <w:tcW w:type="dxa" w:w="5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15 tickers tier A y 15 tier B (umbral de 60 % de cobertura)</w:t>
            </w:r>
          </w:p>
        </w:tc>
      </w:tr>
      <w:tr>
        <w:trPr>
          <w:cantSplit/>
        </w:trPr>
        <w:tc>
          <w:tcPr>
            <w:tcW w:type="dxa" w:w="3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Mayor cobertura</w:t>
            </w:r>
          </w:p>
        </w:tc>
        <w:tc>
          <w:tcPr>
            <w:tcW w:type="dxa" w:w="5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LTM: 96,65 %</w:t>
            </w:r>
          </w:p>
        </w:tc>
      </w:tr>
      <w:tr>
        <w:trPr>
          <w:cantSplit/>
        </w:trPr>
        <w:tc>
          <w:tcPr>
            <w:tcW w:type="dxa" w:w="3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Menor cobertura</w:t>
            </w:r>
          </w:p>
        </w:tc>
        <w:tc>
          <w:tcPr>
            <w:tcW w:type="dxa" w:w="5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IAM: 19,66 %</w:t>
            </w:r>
          </w:p>
        </w:tc>
      </w:tr>
      <w:tr>
        <w:trPr>
          <w:cantSplit/>
        </w:trPr>
        <w:tc>
          <w:tcPr>
            <w:tcW w:type="dxa" w:w="3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Activo representativo (FALABELLA)</w:t>
            </w:r>
          </w:p>
        </w:tc>
        <w:tc>
          <w:tcPr>
            <w:tcW w:type="dxa" w:w="5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Tier A, cobertura 92,93 %; 7,20 % de velas imputadas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FF3D1" w:color="auto" w:val="clear"/>
            <w:tcMar>
              <w:top w:type="dxa" w:w="100"/>
              <w:left w:type="dxa" w:w="160"/>
              <w:bottom w:type="dxa" w:w="100"/>
              <w:right w:type="dxa" w:w="160"/>
            </w:tcMar>
          </w:tcPr>
          <w:p>
            <w:pPr>
              <w:spacing w:after="60"/>
            </w:pPr>
            <w:r>
              <w:rPr>
                <w:b/>
                <w:bCs/>
                <w:color w:val="1E2761"/>
                <w:sz w:val="22"/>
                <w:szCs w:val="22"/>
              </w:rPr>
              <w:t xml:space="preserve">Limitaciones de los datos</w:t>
            </w:r>
          </w:p>
          <w:p>
            <w:pPr>
              <w:keepNext/>
              <w:spacing w:after="60" w:line="264"/>
              <w:jc w:val="both"/>
            </w:pPr>
            <w:r>
              <w:rPr>
                <w:sz w:val="21"/>
                <w:szCs w:val="21"/>
              </w:rPr>
              <w:t xml:space="preserve">Los datos no incluyen el libro de órdenes de Nivel 2: spread, profundidad y cancelaciones solo pueden aproximarse a partir de velas de 5 minutos. Además, la ventana de 60 días que entrega la fuente es corta y no puede volver a descargarse una vez que pasa; los parquet de cada snapshot se conservan localmente y no en el repositorio.</w:t>
            </w:r>
          </w:p>
        </w:tc>
      </w:tr>
    </w:tbl>
    <w:p>
      <w:pPr>
        <w:pStyle w:val="Heading2"/>
      </w:pPr>
      <w:r>
        <w:t xml:space="preserve">3.2 Comportamiento intradiario del mercado real</w:t>
      </w:r>
    </w:p>
    <w:p>
      <w:pPr>
        <w:keepNext w:val="false"/>
        <w:spacing w:after="120" w:before="0" w:line="276"/>
        <w:jc w:val="both"/>
      </w:pPr>
      <w:r>
        <w:t xml:space="preserve">El Título I anticipa que el mercado chileno concentra actividad y profundidad en la apertura y el cierre, y que la media jornada presenta spreads más amplios. Para contrastarlo se caracterizó el mercado por tramo horario sobre los 30 tickers (140.400 observaciones del snapshot de septiembre). Como el libro de órdenes no está disponible, el spread se aproxima con el rango máximo–mínimo de cada vela, expresado como porcentaje del precio de cierre.</w:t>
      </w:r>
    </w:p>
    <w:p>
      <w:pPr>
        <w:keepNext/>
        <w:spacing w:after="80" w:before="160"/>
        <w:jc w:val="left"/>
      </w:pPr>
      <w:r>
        <w:rPr>
          <w:b/>
          <w:bCs/>
          <w:color w:val="1E2761"/>
          <w:sz w:val="20"/>
          <w:szCs w:val="20"/>
        </w:rPr>
        <w:t xml:space="preserve">Tabla II-3. </w:t>
      </w:r>
      <w:r>
        <w:rPr>
          <w:color w:val="1E2761"/>
          <w:sz w:val="20"/>
          <w:szCs w:val="20"/>
        </w:rPr>
        <w:t xml:space="preserve">Perfil intradiario del IPSA (30 tickers, velas de 5 minutos).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400"/>
        <w:gridCol w:w="2126"/>
      </w:tblGrid>
      <w:tr>
        <w:trPr>
          <w:cantSplit/>
          <w:tblHeader/>
        </w:trPr>
        <w:tc>
          <w:tcPr>
            <w:tcW w:type="dxa" w:w="2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Tramo</w:t>
            </w:r>
          </w:p>
        </w:tc>
        <w:tc>
          <w:tcPr>
            <w:tcW w:type="dxa" w:w="18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Spread relativo (%)</w:t>
            </w:r>
          </w:p>
        </w:tc>
        <w:tc>
          <w:tcPr>
            <w:tcW w:type="dxa" w:w="2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Volatilidad (desv. est. de retornos)</w:t>
            </w:r>
          </w:p>
        </w:tc>
        <w:tc>
          <w:tcPr>
            <w:tcW w:type="dxa" w:w="21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Volumen promedio por vela (acciones)</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Apertura (09:30–11:00)</w:t>
            </w:r>
          </w:p>
        </w:tc>
        <w:tc>
          <w:tcPr>
            <w:tcW w:type="dxa" w:w="1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0,138</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0,00251</w:t>
            </w:r>
          </w:p>
        </w:tc>
        <w:tc>
          <w:tcPr>
            <w:tcW w:type="dxa" w:w="21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396.765</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Media jornada (11:00–14:00)</w:t>
            </w:r>
          </w:p>
        </w:tc>
        <w:tc>
          <w:tcPr>
            <w:tcW w:type="dxa" w:w="18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0,112</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0,00156</w:t>
            </w:r>
          </w:p>
        </w:tc>
        <w:tc>
          <w:tcPr>
            <w:tcW w:type="dxa" w:w="21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456.967</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Cierre (14:00–16:00)</w:t>
            </w:r>
          </w:p>
        </w:tc>
        <w:tc>
          <w:tcPr>
            <w:tcW w:type="dxa" w:w="1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0,128</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0,00151</w:t>
            </w:r>
          </w:p>
        </w:tc>
        <w:tc>
          <w:tcPr>
            <w:tcW w:type="dxa" w:w="21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698.419</w:t>
            </w:r>
          </w:p>
        </w:tc>
      </w:tr>
    </w:tbl>
    <w:p>
      <w:pPr>
        <w:keepNext/>
        <w:spacing w:after="40" w:before="120"/>
        <w:jc w:val="center"/>
      </w:pPr>
      <w:r>
        <w:drawing>
          <wp:inline distT="0" distB="0" distL="0" distR="0">
            <wp:extent cx="5715000" cy="1609725"/>
            <wp:effectExtent t="0" r="0" b="0" l="0"/>
            <wp:docPr id="2" name="perfil_mercado_ipsa_real.png" descr="Spread relativo, volatilidad y volumen promedio por tramo horario (datos reales del IPSA)." title="Spread relativo, volatilidad y volumen promedio por tramo horario (datos reales del IP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09725"/>
                    </a:xfrm>
                    <a:prstGeom prst="rect">
                      <a:avLst/>
                    </a:prstGeom>
                  </pic:spPr>
                </pic:pic>
              </a:graphicData>
            </a:graphic>
          </wp:inline>
        </w:drawing>
      </w:r>
    </w:p>
    <w:p>
      <w:pPr>
        <w:spacing w:after="200" w:before="60"/>
        <w:jc w:val="center"/>
      </w:pPr>
      <w:r>
        <w:rPr>
          <w:b/>
          <w:bCs/>
          <w:color w:val="1E2761"/>
          <w:sz w:val="20"/>
          <w:szCs w:val="20"/>
        </w:rPr>
        <w:t xml:space="preserve">Figura II-1. </w:t>
      </w:r>
      <w:r>
        <w:rPr>
          <w:color w:val="1E2761"/>
          <w:sz w:val="20"/>
          <w:szCs w:val="20"/>
        </w:rPr>
        <w:t xml:space="preserve">Spread relativo, volatilidad y volumen promedio por tramo horario (datos reales del IPSA).</w:t>
      </w:r>
    </w:p>
    <w:p>
      <w:pPr>
        <w:keepNext w:val="false"/>
        <w:spacing w:after="120" w:before="0" w:line="276"/>
        <w:jc w:val="both"/>
      </w:pPr>
      <w:r>
        <w:t xml:space="preserve">Tres observaciones se desprenden de la tabla:</w:t>
      </w:r>
    </w:p>
    <w:p>
      <w:pPr>
        <w:pStyle w:val="ListParagraph"/>
        <w:numPr>
          <w:ilvl w:val="0"/>
          <w:numId w:val="2"/>
        </w:numPr>
        <w:spacing w:after="60" w:line="276"/>
        <w:jc w:val="both"/>
      </w:pPr>
      <w:r>
        <w:rPr>
          <w:b/>
          <w:bCs/>
        </w:rPr>
        <w:t xml:space="preserve">El spread es mayor en la apertura, no en la media jornada.</w:t>
      </w:r>
      <w:r>
        <w:t xml:space="preserve"> La media jornada es el tramo de menor spread (0,112 %). El patrón es decreciente a lo largo del día (forma de "L"), distinto de la forma de "U" que sugería la hipótesis inicial.</w:t>
      </w:r>
    </w:p>
    <w:p>
      <w:pPr>
        <w:pStyle w:val="ListParagraph"/>
        <w:numPr>
          <w:ilvl w:val="0"/>
          <w:numId w:val="2"/>
        </w:numPr>
        <w:spacing w:after="60" w:line="276"/>
        <w:jc w:val="both"/>
      </w:pPr>
      <w:r>
        <w:rPr>
          <w:b/>
          <w:bCs/>
        </w:rPr>
        <w:t xml:space="preserve">La volatilidad decrece de la apertura a la media jornada y se mantiene baja en el cierre</w:t>
      </w:r>
      <w:r>
        <w:t xml:space="preserve">, sin el repunte de cierre que describe la literatura clásica.</w:t>
      </w:r>
    </w:p>
    <w:p>
      <w:pPr>
        <w:pStyle w:val="ListParagraph"/>
        <w:numPr>
          <w:ilvl w:val="0"/>
          <w:numId w:val="2"/>
        </w:numPr>
        <w:spacing w:after="60" w:line="276"/>
        <w:jc w:val="both"/>
      </w:pPr>
      <w:r>
        <w:rPr>
          <w:b/>
          <w:bCs/>
        </w:rPr>
        <w:t xml:space="preserve">El volumen crece hacia el cierre</w:t>
      </w:r>
      <w:r>
        <w:t xml:space="preserve"> (de 396.765 a 698.419 acciones por vela), en lugar de mostrar el patrón alto–bajo–alto esperado.</w:t>
      </w:r>
    </w:p>
    <w:p>
      <w:pPr>
        <w:keepNext w:val="false"/>
        <w:spacing w:after="120" w:before="0" w:line="276"/>
        <w:jc w:val="both"/>
      </w:pPr>
      <w:r>
        <w:t xml:space="preserve">Este resultado no se ajustó para calzar con la hipótesis. Fue confirmado de forma independiente por la calibración de Poisson (sección 5.3), que usa otro snapshot, otra metodología (estimador de Roll y rango máximo–mínimo, con winsorización) y llega a la misma conclusión: en el conjunto de los 30 tickers el rango máximo–mínimo solo es mayor en la media jornada que en la apertura y el cierre en 1 caso de 30. Una explicación plausible es el patrón de "L" frecuente en mercados de liquidez fina, aunque con datos de 5 minutos y sin Nivel 2 no puede descartarse que parte del efecto sea un artefacto del proxy usado.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DDE6F7" w:color="auto" w:val="clear"/>
            <w:tcMar>
              <w:top w:type="dxa" w:w="100"/>
              <w:left w:type="dxa" w:w="160"/>
              <w:bottom w:type="dxa" w:w="100"/>
              <w:right w:type="dxa" w:w="160"/>
            </w:tcMar>
          </w:tcPr>
          <w:p>
            <w:pPr>
              <w:spacing w:after="60"/>
            </w:pPr>
            <w:r>
              <w:rPr>
                <w:b/>
                <w:bCs/>
                <w:color w:val="1E2761"/>
                <w:sz w:val="22"/>
                <w:szCs w:val="22"/>
              </w:rPr>
              <w:t xml:space="preserve">Nota sobre los tramos horarios</w:t>
            </w:r>
          </w:p>
          <w:p>
            <w:pPr>
              <w:keepNext/>
              <w:spacing w:after="60" w:line="264"/>
              <w:jc w:val="both"/>
            </w:pPr>
            <w:r>
              <w:rPr>
                <w:sz w:val="21"/>
                <w:szCs w:val="21"/>
              </w:rPr>
              <w:t xml:space="preserve">Esta caracterización usa los cortes de la variable </w:t>
            </w:r>
            <w:r>
              <w:rPr>
                <w:rFonts w:ascii="Courier New" w:cs="Courier New" w:eastAsia="Courier New" w:hAnsi="Courier New"/>
                <w:sz w:val="19"/>
                <w:szCs w:val="19"/>
              </w:rPr>
              <w:t xml:space="preserve">sesion</w:t>
            </w:r>
            <w:r>
              <w:rPr>
                <w:sz w:val="21"/>
                <w:szCs w:val="21"/>
              </w:rPr>
              <w:t xml:space="preserve"> del vector S_M (11:00 y 14:00). Los Ejecutores y la calibración de Poisson definen la apertura hasta las 11:30. Ambas definiciones están documentadas y unificarlas es una tarea de revisión pendiente; no altera las conclusiones de dirección (el spread decrece a lo largo del día en ambos casos).</w:t>
            </w:r>
          </w:p>
        </w:tc>
      </w:tr>
    </w:tbl>
    <w:p>
      <w:pPr>
        <w:pStyle w:val="Heading2"/>
      </w:pPr>
      <w:r>
        <w:t xml:space="preserve">3.3 Formalización del problema como MDP jerárquico</w:t>
      </w:r>
    </w:p>
    <w:p>
      <w:pPr>
        <w:keepNext w:val="false"/>
        <w:spacing w:after="120" w:before="0" w:line="276"/>
        <w:jc w:val="both"/>
      </w:pPr>
      <w:r>
        <w:t xml:space="preserve">El problema se modela como dos procesos de decisión acoplados, siguiendo la sección 4.2 de la Parte I: un Agente Maestro que decide cada 30 minutos cuánto y durante cuánto tiempo ejecutar, y tres Agentes Ejecutores (apertura, media jornada y cierre) que deciden cada 30 segundos cómo ejecutar el volumen asignado. Los factores de descuento son γ_M = 0,99 para el Maestro y γ_E = 0,95 para los Ejecutores. La jornada completa (09:30 a 16:00, 390 minutos) equivale a un máximo de 13 decisiones del Maestro.</w:t>
      </w:r>
    </w:p>
    <w:p>
      <w:pPr>
        <w:pStyle w:val="Heading3"/>
      </w:pPr>
      <w:r>
        <w:t xml:space="preserve">3.3.1 Estado del Maestro (S_M, 7 variables)</w:t>
      </w:r>
    </w:p>
    <w:p>
      <w:pPr>
        <w:keepNext/>
        <w:spacing w:after="80" w:before="160"/>
        <w:jc w:val="left"/>
      </w:pPr>
      <w:r>
        <w:rPr>
          <w:b/>
          <w:bCs/>
          <w:color w:val="1E2761"/>
          <w:sz w:val="20"/>
          <w:szCs w:val="20"/>
        </w:rPr>
        <w:t xml:space="preserve">Tabla II-4. </w:t>
      </w:r>
      <w:r>
        <w:rPr>
          <w:color w:val="1E2761"/>
          <w:sz w:val="20"/>
          <w:szCs w:val="20"/>
        </w:rPr>
        <w:t xml:space="preserve">Vector de estado del Agente Maestro (todas las variables normalizadas).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00"/>
        <w:gridCol w:w="5026"/>
      </w:tblGrid>
      <w:tr>
        <w:trPr>
          <w:cantSplit/>
          <w:tblHeader/>
        </w:trPr>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Variable</w:t>
            </w:r>
          </w:p>
        </w:tc>
        <w:tc>
          <w:tcPr>
            <w:tcW w:type="dxa" w:w="1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Rango</w:t>
            </w:r>
          </w:p>
        </w:tc>
        <w:tc>
          <w:tcPr>
            <w:tcW w:type="dxa" w:w="1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Fuente</w:t>
            </w:r>
          </w:p>
        </w:tc>
        <w:tc>
          <w:tcPr>
            <w:tcW w:type="dxa" w:w="50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Descripción</w:t>
            </w:r>
          </w:p>
        </w:tc>
      </w:tr>
      <w:tr>
        <w:trPr>
          <w:cantSplit/>
        </w:trPr>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q_t</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[0, 1]</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Interna</w:t>
            </w:r>
          </w:p>
        </w:tc>
        <w:tc>
          <w:tcPr>
            <w:tcW w:type="dxa" w:w="5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Fracción de la meta-orden aún sin ejecutar.</w:t>
            </w:r>
          </w:p>
        </w:tc>
      </w:tr>
      <w:tr>
        <w:trPr>
          <w:cantSplit/>
        </w:trPr>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tau_t</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[0, 1]</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Reloj</w:t>
            </w:r>
          </w:p>
        </w:tc>
        <w:tc>
          <w:tcPr>
            <w:tcW w:type="dxa" w:w="5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Fracción transcurrida de la jornada (09:30–16:00).</w:t>
            </w:r>
          </w:p>
        </w:tc>
      </w:tr>
      <w:tr>
        <w:trPr>
          <w:cantSplit/>
        </w:trPr>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n_slices</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[0, 1]</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Interna</w:t>
            </w:r>
          </w:p>
        </w:tc>
        <w:tc>
          <w:tcPr>
            <w:tcW w:type="dxa" w:w="5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Decisiones emitidas respecto del máximo de 13.</w:t>
            </w:r>
          </w:p>
        </w:tc>
      </w:tr>
      <w:tr>
        <w:trPr>
          <w:cantSplit/>
        </w:trPr>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volatilidad</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[0, 1]</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yfinance</w:t>
            </w:r>
          </w:p>
        </w:tc>
        <w:tc>
          <w:tcPr>
            <w:tcW w:type="dxa" w:w="5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Volatilidad del precio de cierre, ventana móvil de 6 velas.</w:t>
            </w:r>
          </w:p>
        </w:tc>
      </w:tr>
      <w:tr>
        <w:trPr>
          <w:cantSplit/>
        </w:trPr>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vol_promedio</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[0, 1]</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yfinance</w:t>
            </w:r>
          </w:p>
        </w:tc>
        <w:tc>
          <w:tcPr>
            <w:tcW w:type="dxa" w:w="5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Volumen promedio, ventana móvil de 6 velas.</w:t>
            </w:r>
          </w:p>
        </w:tc>
      </w:tr>
      <w:tr>
        <w:trPr>
          <w:cantSplit/>
        </w:trPr>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OBI_agregado</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[-1, 1]</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Simulador</w:t>
            </w:r>
          </w:p>
        </w:tc>
        <w:tc>
          <w:tcPr>
            <w:tcW w:type="dxa" w:w="5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Desbalance entre volumen comprador y vendedor del libro. Hoy vale 0,0 (ver nota).</w:t>
            </w:r>
          </w:p>
        </w:tc>
      </w:tr>
      <w:tr>
        <w:trPr>
          <w:cantSplit/>
        </w:trPr>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sesion</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[0, 1]</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Reloj</w:t>
            </w:r>
          </w:p>
        </w:tc>
        <w:tc>
          <w:tcPr>
            <w:tcW w:type="dxa" w:w="5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Tramo horario: 0,0 apertura, 0,5 media jornada, 1,0 cierre.</w:t>
            </w:r>
          </w:p>
        </w:tc>
      </w:tr>
    </w:tbl>
    <w:p>
      <w:pPr>
        <w:spacing w:after="100"/>
      </w:pPr>
    </w:p>
    <w:p>
      <w:pPr>
        <w:keepNext w:val="false"/>
        <w:spacing w:after="120" w:before="0" w:line="276"/>
        <w:jc w:val="both"/>
      </w:pPr>
      <w:r>
        <w:t xml:space="preserve">La variable </w:t>
      </w:r>
      <w:r>
        <w:rPr>
          <w:rFonts w:ascii="Courier New" w:cs="Courier New" w:eastAsia="Courier New" w:hAnsi="Courier New"/>
          <w:sz w:val="20"/>
          <w:szCs w:val="20"/>
        </w:rPr>
        <w:t xml:space="preserve">OBI_agregado</w:t>
      </w:r>
      <w:r>
        <w:t xml:space="preserve"> se mantiene en 0,0 de forma deliberada: el Maestro no tiene conexión propia al simulador, y definir cómo agregarla a partir de los tres Ejecutores es una decisión de diseño abierta que no se tomó por defecto.</w:t>
      </w:r>
    </w:p>
    <w:p>
      <w:pPr>
        <w:pStyle w:val="Heading3"/>
      </w:pPr>
      <w:r>
        <w:t xml:space="preserve">3.3.2 Acción del Maestro (A_M, 40 combinaciones)</w:t>
      </w:r>
    </w:p>
    <w:p>
      <w:pPr>
        <w:keepNext w:val="false"/>
        <w:spacing w:after="120" w:before="0" w:line="276"/>
        <w:jc w:val="both"/>
      </w:pPr>
      <w:r>
        <w:t xml:space="preserve">La acción es discreta y combina dos decisiones: la fracción del inventario restante que se asigna al siguiente tramo, α_t ∈ {0,05; 0,10; …; 0,50} (10 valores), y la ventana de ejecución, ventana_min ∈ {1, 5, 10, 15} minutos (4 valores). El espacio resultante es MultiDiscrete([10, 4]), equivalente a 40 acciones planas. La cantidad asignada es q_slice = α_t × (Q_total − Q_ejecutado).</w:t>
      </w:r>
    </w:p>
    <w:p>
      <w:pPr>
        <w:pStyle w:val="Heading3"/>
      </w:pPr>
      <w:r>
        <w:t xml:space="preserve">3.3.3 Estado del Ejecutor (S_E, 27 variables)</w:t>
      </w:r>
    </w:p>
    <w:p>
      <w:pPr>
        <w:keepNext/>
        <w:spacing w:after="80" w:before="160"/>
        <w:jc w:val="left"/>
      </w:pPr>
      <w:r>
        <w:rPr>
          <w:b/>
          <w:bCs/>
          <w:color w:val="1E2761"/>
          <w:sz w:val="20"/>
          <w:szCs w:val="20"/>
        </w:rPr>
        <w:t xml:space="preserve">Tabla II-5. </w:t>
      </w:r>
      <w:r>
        <w:rPr>
          <w:color w:val="1E2761"/>
          <w:sz w:val="20"/>
          <w:szCs w:val="20"/>
        </w:rPr>
        <w:t xml:space="preserve">Vector de estado de cada Agente Ejecutor.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626"/>
        <w:gridCol w:w="1000"/>
      </w:tblGrid>
      <w:tr>
        <w:trPr>
          <w:cantSplit/>
          <w:tblHeader/>
        </w:trPr>
        <w:tc>
          <w:tcPr>
            <w:tcW w:type="dxa" w:w="2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Grupo</w:t>
            </w:r>
          </w:p>
        </w:tc>
        <w:tc>
          <w:tcPr>
            <w:tcW w:type="dxa" w:w="56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Variables</w:t>
            </w:r>
          </w:p>
        </w:tc>
        <w:tc>
          <w:tcPr>
            <w:tcW w:type="dxa" w:w="1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Dim.</w:t>
            </w:r>
          </w:p>
        </w:tc>
      </w:tr>
      <w:tr>
        <w:trPr>
          <w:cantSplit/>
        </w:trPr>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Privado</w:t>
            </w:r>
          </w:p>
        </w:tc>
        <w:tc>
          <w:tcPr>
            <w:tcW w:type="dxa" w:w="5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q_slice, q_pendiente, tau_slice</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3</w:t>
            </w:r>
          </w:p>
        </w:tc>
      </w:tr>
      <w:tr>
        <w:trPr>
          <w:cantSplit/>
        </w:trPr>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Libro de compra (bid)</w:t>
            </w:r>
          </w:p>
        </w:tc>
        <w:tc>
          <w:tcPr>
            <w:tcW w:type="dxa" w:w="5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Precios y volúmenes de los 5 mejores niveles</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10</w:t>
            </w:r>
          </w:p>
        </w:tc>
      </w:tr>
      <w:tr>
        <w:trPr>
          <w:cantSplit/>
        </w:trPr>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Libro de venta (ask)</w:t>
            </w:r>
          </w:p>
        </w:tc>
        <w:tc>
          <w:tcPr>
            <w:tcW w:type="dxa" w:w="5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Precios y volúmenes de los 5 mejores niveles</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10</w:t>
            </w:r>
          </w:p>
        </w:tc>
      </w:tr>
      <w:tr>
        <w:trPr>
          <w:cantSplit/>
        </w:trPr>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Mercado</w:t>
            </w:r>
          </w:p>
        </w:tc>
        <w:tc>
          <w:tcPr>
            <w:tcW w:type="dxa" w:w="5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spread_t, OBI_t, tasa_ordenes, P_mid</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4</w:t>
            </w:r>
          </w:p>
        </w:tc>
      </w:tr>
      <w:tr>
        <w:trPr>
          <w:cantSplit/>
        </w:trPr>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9"/>
                <w:szCs w:val="19"/>
              </w:rPr>
              <w:t xml:space="preserve">Total</w:t>
            </w:r>
          </w:p>
        </w:tc>
        <w:tc>
          <w:tcPr>
            <w:tcW w:type="dxa" w:w="5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b/>
                <w:bCs/>
                <w:sz w:val="19"/>
                <w:szCs w:val="19"/>
              </w:rPr>
              <w:t xml:space="preserve">27</w:t>
            </w:r>
          </w:p>
        </w:tc>
      </w:tr>
    </w:tbl>
    <w:p>
      <w:pPr>
        <w:spacing w:after="100"/>
      </w:pPr>
    </w:p>
    <w:p>
      <w:pPr>
        <w:keepNext w:val="false"/>
        <w:spacing w:after="120" w:before="0" w:line="276"/>
        <w:jc w:val="both"/>
      </w:pPr>
      <w:r>
        <w:t xml:space="preserve">Las variables enumeradas en la Parte I (3 privadas, 5 niveles de precio y volumen por lado, spread, desbalance, tasa de llegada y precio medio) suman 27. El esquema inicial del sprint 1 declaraba 26 por un error de conteo, que se corrigió el 23 de septiembre; el código calcula la dimensión a partir de las variables listadas, de modo que no puede volver a divergir sin advertencia.</w:t>
      </w:r>
    </w:p>
    <w:p>
      <w:pPr>
        <w:pStyle w:val="Heading3"/>
      </w:pPr>
      <w:r>
        <w:t xml:space="preserve">3.3.4 Acción del Ejecutor (A_E, 240 combinaciones)</w:t>
      </w:r>
    </w:p>
    <w:p>
      <w:pPr>
        <w:keepNext w:val="false"/>
        <w:spacing w:after="120" w:before="0" w:line="276"/>
        <w:jc w:val="both"/>
      </w:pPr>
      <w:r>
        <w:t xml:space="preserve">Cada 30 segundos el Ejecutor elige un tipo de orden (compra límite, venta límite o mercado), qué fracción de su inventario pendiente enviar (10 niveles, de 0,1 a 1,0) y a qué nivel de precio colocarla (8 niveles, del más pasivo al más agresivo). El espacio es MultiDiscrete([3, 10, 8]), equivalente a 240 acciones planas. Como el proyecto solo modela compras, la venta límite se interpreta como esperar.</w:t>
      </w:r>
    </w:p>
    <w:p>
      <w:pPr>
        <w:pStyle w:val="Heading3"/>
      </w:pPr>
      <w:r>
        <w:t xml:space="preserve">3.3.5 Funciones de recompensa</w:t>
      </w:r>
    </w:p>
    <w:p>
      <w:pPr>
        <w:keepNext w:val="false"/>
        <w:spacing w:after="120" w:before="0" w:line="276"/>
        <w:jc w:val="both"/>
      </w:pPr>
      <w:r>
        <w:t xml:space="preserve">La métrica objetivo es el Implementation Shortfall (Perold, 1988), definido en la sección 4.1.3 de la Parte I. Las recompensas de cada nivel son:</w:t>
      </w:r>
    </w:p>
    <w:p>
      <w:pPr>
        <w:spacing w:after="140" w:before="80"/>
        <w:jc w:val="center"/>
      </w:pPr>
      <w:r>
        <w:rPr>
          <w:rFonts w:ascii="Cambria Math" w:cs="Cambria Math" w:eastAsia="Cambria Math" w:hAnsi="Cambria Math"/>
          <w:i/>
          <w:iCs/>
          <w:sz w:val="23"/>
          <w:szCs w:val="23"/>
        </w:rPr>
        <w:t xml:space="preserve">R_M = − IS_total − λ · max(0, Q_pendiente) · P_mid_cierre</w:t>
      </w:r>
    </w:p>
    <w:p>
      <w:pPr>
        <w:spacing w:after="140" w:before="80"/>
        <w:jc w:val="center"/>
      </w:pPr>
      <w:r>
        <w:rPr>
          <w:rFonts w:ascii="Cambria Math" w:cs="Cambria Math" w:eastAsia="Cambria Math" w:hAnsi="Cambria Math"/>
          <w:i/>
          <w:iCs/>
          <w:sz w:val="23"/>
          <w:szCs w:val="23"/>
        </w:rPr>
        <w:t xml:space="preserve">R_E = (P_mid,t − P_ejec,t) · q_ejec − β · σ²_precio · q_ejec</w:t>
      </w:r>
    </w:p>
    <w:p>
      <w:pPr>
        <w:keepNext w:val="false"/>
        <w:spacing w:after="120" w:before="0" w:line="276"/>
        <w:jc w:val="both"/>
      </w:pPr>
      <w:r>
        <w:t xml:space="preserve">R_M es una recompensa dispersa que se entrega solo al final de la jornada, y R_E es densa, una por cada paso de 30 segundos. Los coeficientes λ (penalización por inventario sin ejecutar) y β (aversión al riesgo) se calibraron experimentalmente en el sprint 4: λ = 0,05 y β = 0,0061796, ambos provisionales (sección 5.9).</w:t>
      </w:r>
    </w:p>
    <w:p>
      <w:r>
        <w:br w:type="page"/>
      </w:r>
    </w:p>
    <w:p>
      <w:pPr>
        <w:pStyle w:val="Heading1"/>
      </w:pPr>
      <w:r>
        <w:t xml:space="preserve">Capítulo 4. Diseño de la solución</w:t>
      </w:r>
    </w:p>
    <w:p>
      <w:pPr>
        <w:pStyle w:val="Heading2"/>
      </w:pPr>
      <w:r>
        <w:t xml:space="preserve">4.1 Arquitectura del sistema</w:t>
      </w:r>
    </w:p>
    <w:p>
      <w:pPr>
        <w:keepNext w:val="false"/>
        <w:spacing w:after="120" w:before="0" w:line="276"/>
        <w:jc w:val="both"/>
      </w:pPr>
      <w:r>
        <w:t xml:space="preserve">El sistema se organiza en tres capas: coordinación (Maestro), ejecución (tres Ejecutores) y simulación (ABIDES-Gym o el simulador de Poisson). La figura siguiente resume el flujo.</w:t>
      </w:r>
    </w:p>
    <w:p>
      <w:pPr>
        <w:keepNext/>
        <w:spacing w:after="40" w:before="120"/>
        <w:jc w:val="center"/>
      </w:pPr>
      <w:r>
        <w:drawing>
          <wp:inline distT="0" distB="0" distL="0" distR="0">
            <wp:extent cx="5334000" cy="3124200"/>
            <wp:effectExtent t="0" r="0" b="0" l="0"/>
            <wp:docPr id="3" name="arquitectura.png" descr="Arquitectura del sistema y flujo de mensajes entre el Maestro, los Ejecutores y el mercado simulado." title="Arquitectura del sistema y flujo de mensajes entre el Maestro, los Ejecutores y el mercado si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24200"/>
                    </a:xfrm>
                    <a:prstGeom prst="rect">
                      <a:avLst/>
                    </a:prstGeom>
                  </pic:spPr>
                </pic:pic>
              </a:graphicData>
            </a:graphic>
          </wp:inline>
        </w:drawing>
      </w:r>
    </w:p>
    <w:p>
      <w:pPr>
        <w:spacing w:after="200" w:before="60"/>
        <w:jc w:val="center"/>
      </w:pPr>
      <w:r>
        <w:rPr>
          <w:b/>
          <w:bCs/>
          <w:color w:val="1E2761"/>
          <w:sz w:val="20"/>
          <w:szCs w:val="20"/>
        </w:rPr>
        <w:t xml:space="preserve">Figura II-2. </w:t>
      </w:r>
      <w:r>
        <w:rPr>
          <w:color w:val="1E2761"/>
          <w:sz w:val="20"/>
          <w:szCs w:val="20"/>
        </w:rPr>
        <w:t xml:space="preserve">Arquitectura del sistema y flujo de mensajes entre el Maestro, los Ejecutores y el mercado simulado.</w:t>
      </w:r>
    </w:p>
    <w:p>
      <w:pPr>
        <w:keepNext w:val="false"/>
        <w:spacing w:after="120" w:before="0" w:line="276"/>
        <w:jc w:val="both"/>
      </w:pPr>
      <w:r>
        <w:t xml:space="preserve">Un episodio corresponde a una jornada bursátil y se desarrolla así:</w:t>
      </w:r>
    </w:p>
    <w:p>
      <w:pPr>
        <w:pStyle w:val="ListParagraph"/>
        <w:numPr>
          <w:ilvl w:val="0"/>
          <w:numId w:val="7"/>
        </w:numPr>
        <w:spacing w:after="60" w:line="276"/>
        <w:jc w:val="both"/>
      </w:pPr>
      <w:r>
        <w:rPr>
          <w:rFonts w:ascii="Courier New" w:cs="Courier New" w:eastAsia="Courier New" w:hAnsi="Courier New"/>
          <w:sz w:val="20"/>
          <w:szCs w:val="20"/>
        </w:rPr>
        <w:t xml:space="preserve">reset()</w:t>
      </w:r>
      <w:r>
        <w:t xml:space="preserve">: se fija el reloj en las 09:30, se reinician los contadores (inventario ejecutado, número de decisiones) y se calcula el estado inicial S_M.</w:t>
      </w:r>
    </w:p>
    <w:p>
      <w:pPr>
        <w:pStyle w:val="ListParagraph"/>
        <w:numPr>
          <w:ilvl w:val="0"/>
          <w:numId w:val="7"/>
        </w:numPr>
        <w:spacing w:after="60" w:line="276"/>
        <w:jc w:val="both"/>
      </w:pPr>
      <w:r>
        <w:t xml:space="preserve">El Maestro observa S_M y decide (α_t, ventana_min). El entorno calcula q_slice y envía un mensaje </w:t>
      </w:r>
      <w:r>
        <w:rPr>
          <w:b/>
          <w:bCs/>
        </w:rPr>
        <w:t xml:space="preserve">ASIGNAR</w:t>
      </w:r>
      <w:r>
        <w:t xml:space="preserve"> al Ejecutor cuyo tramo horario coincide con la hora actual.</w:t>
      </w:r>
    </w:p>
    <w:p>
      <w:pPr>
        <w:pStyle w:val="ListParagraph"/>
        <w:numPr>
          <w:ilvl w:val="0"/>
          <w:numId w:val="7"/>
        </w:numPr>
        <w:spacing w:after="60" w:line="276"/>
        <w:jc w:val="both"/>
      </w:pPr>
      <w:r>
        <w:t xml:space="preserve">El Ejecutor opera durante ventana_min × 2 pasos de 30 segundos, observando S_E y enviando órdenes al mercado simulado.</w:t>
      </w:r>
    </w:p>
    <w:p>
      <w:pPr>
        <w:pStyle w:val="ListParagraph"/>
        <w:numPr>
          <w:ilvl w:val="0"/>
          <w:numId w:val="7"/>
        </w:numPr>
        <w:spacing w:after="60" w:line="276"/>
        <w:jc w:val="both"/>
      </w:pPr>
      <w:r>
        <w:t xml:space="preserve">Al terminar la ventana, el Ejecutor devuelve un mensaje </w:t>
      </w:r>
      <w:r>
        <w:rPr>
          <w:b/>
          <w:bCs/>
        </w:rPr>
        <w:t xml:space="preserve">REPORTE</w:t>
      </w:r>
      <w:r>
        <w:t xml:space="preserve">. El entorno actualiza el inventario ejecutado, avanza el reloj 30 minutos y recalcula S_M.</w:t>
      </w:r>
    </w:p>
    <w:p>
      <w:pPr>
        <w:pStyle w:val="ListParagraph"/>
        <w:numPr>
          <w:ilvl w:val="0"/>
          <w:numId w:val="7"/>
        </w:numPr>
        <w:spacing w:after="60" w:line="276"/>
        <w:jc w:val="both"/>
      </w:pPr>
      <w:r>
        <w:t xml:space="preserve">Se repite hasta las 16:00. Al final se calcula la recompensa terminal R_M y se guardan los registros del episodio.</w:t>
      </w:r>
    </w:p>
    <w:p>
      <w:pPr>
        <w:keepNext/>
        <w:spacing w:after="80" w:before="160"/>
        <w:jc w:val="left"/>
      </w:pPr>
      <w:r>
        <w:rPr>
          <w:b/>
          <w:bCs/>
          <w:color w:val="1E2761"/>
          <w:sz w:val="20"/>
          <w:szCs w:val="20"/>
        </w:rPr>
        <w:t xml:space="preserve">Tabla II-6. </w:t>
      </w:r>
      <w:r>
        <w:rPr>
          <w:color w:val="1E2761"/>
          <w:sz w:val="20"/>
          <w:szCs w:val="20"/>
        </w:rPr>
        <w:t xml:space="preserve">Contenido de los mensajes entre el Maestro y el Ejecutor activo.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326"/>
      </w:tblGrid>
      <w:tr>
        <w:trPr>
          <w:cantSplit/>
          <w:tblHeader/>
        </w:trPr>
        <w:tc>
          <w:tcPr>
            <w:tcW w:type="dxa" w:w="2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Mensaje</w:t>
            </w:r>
          </w:p>
        </w:tc>
        <w:tc>
          <w:tcPr>
            <w:tcW w:type="dxa" w:w="2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Campo</w:t>
            </w:r>
          </w:p>
        </w:tc>
        <w:tc>
          <w:tcPr>
            <w:tcW w:type="dxa" w:w="43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Significado</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ASIGNAR (Maestro → Ejecutor)</w:t>
            </w: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q_slice</w:t>
            </w:r>
          </w:p>
        </w:tc>
        <w:tc>
          <w:tcPr>
            <w:tcW w:type="dxa" w:w="4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Cantidad de acciones asignada a la ventana (no una fracción).</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p>
        </w:tc>
        <w:tc>
          <w:tcPr>
            <w:tcW w:type="dxa" w:w="2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ventana_min</w:t>
            </w:r>
          </w:p>
        </w:tc>
        <w:tc>
          <w:tcPr>
            <w:tcW w:type="dxa" w:w="4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Duración de la ventana: 1, 5, 10 o 15 minutos.</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timestamp_inicio</w:t>
            </w:r>
          </w:p>
        </w:tc>
        <w:tc>
          <w:tcPr>
            <w:tcW w:type="dxa" w:w="4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Instante de inicio de la ventana.</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REPORTE (Ejecutor → Maestro)</w:t>
            </w:r>
          </w:p>
        </w:tc>
        <w:tc>
          <w:tcPr>
            <w:tcW w:type="dxa" w:w="2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q_ejecutado</w:t>
            </w:r>
          </w:p>
        </w:tc>
        <w:tc>
          <w:tcPr>
            <w:tcW w:type="dxa" w:w="4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Acciones realmente ejecutadas (puede ser menor que q_slice).</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p_promedio</w:t>
            </w:r>
          </w:p>
        </w:tc>
        <w:tc>
          <w:tcPr>
            <w:tcW w:type="dxa" w:w="4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Precio promedio ponderado por volumen de la ventana.</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p>
        </w:tc>
        <w:tc>
          <w:tcPr>
            <w:tcW w:type="dxa" w:w="2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slippage_parcial</w:t>
            </w:r>
          </w:p>
        </w:tc>
        <w:tc>
          <w:tcPr>
            <w:tcW w:type="dxa" w:w="4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(p_promedio − P_referencia) × q_ejecutado, en pesos.</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razon_termino</w:t>
            </w:r>
          </w:p>
        </w:tc>
        <w:tc>
          <w:tcPr>
            <w:tcW w:type="dxa" w:w="4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Ventana completada o inventario agotado.</w:t>
            </w:r>
          </w:p>
        </w:tc>
      </w:tr>
    </w:tbl>
    <w:p>
      <w:pPr>
        <w:spacing w:after="100"/>
      </w:pPr>
    </w:p>
    <w:p>
      <w:pPr>
        <w:keepNext w:val="false"/>
        <w:spacing w:after="120" w:before="0" w:line="276"/>
        <w:jc w:val="both"/>
      </w:pPr>
      <w:r>
        <w:t xml:space="preserve">Tres escalas de tiempo conviven en cada episodio: las velas históricas de 5 minutos (6 por decisión del Maestro), las decisiones del Maestro cada 30 minutos (13 por jornada) y las del Ejecutor cada 30 segundos. El simulador puede avanzar a nivel de segundo, pero el Ejecutor solo lo consulta cada 30 segundos.</w:t>
      </w:r>
    </w:p>
    <w:p>
      <w:pPr>
        <w:pStyle w:val="Heading2"/>
      </w:pPr>
      <w:r>
        <w:t xml:space="preserve">4.2 Redes Actor-Crítico</w:t>
      </w:r>
    </w:p>
    <w:p>
      <w:pPr>
        <w:keepNext w:val="false"/>
        <w:spacing w:after="120" w:before="0" w:line="276"/>
        <w:jc w:val="both"/>
      </w:pPr>
      <w:r>
        <w:t xml:space="preserve">Tanto el Maestro como los Ejecutores usan una red Actor-Crítico implementada en PyTorch con un tronco compartido: dos capas ocultas de 256 neuronas con activación ReLU, de las que salen dos cabezas lineales. La cabeza del actor entrega los logits de una distribución categórica sobre las acciones; la del crítico entrega un valor escalar V(s). La política se muestrea con </w:t>
      </w:r>
      <w:r>
        <w:rPr>
          <w:rFonts w:ascii="Courier New" w:cs="Courier New" w:eastAsia="Courier New" w:hAnsi="Courier New"/>
          <w:sz w:val="20"/>
          <w:szCs w:val="20"/>
        </w:rPr>
        <w:t xml:space="preserve">torch.distributions.Categorical</w:t>
      </w:r>
      <w:r>
        <w:t xml:space="preserve">.</w:t>
      </w:r>
    </w:p>
    <w:p>
      <w:pPr>
        <w:keepNext/>
        <w:spacing w:after="80" w:before="160"/>
        <w:jc w:val="left"/>
      </w:pPr>
      <w:r>
        <w:rPr>
          <w:b/>
          <w:bCs/>
          <w:color w:val="1E2761"/>
          <w:sz w:val="20"/>
          <w:szCs w:val="20"/>
        </w:rPr>
        <w:t xml:space="preserve">Tabla II-7. </w:t>
      </w:r>
      <w:r>
        <w:rPr>
          <w:color w:val="1E2761"/>
          <w:sz w:val="20"/>
          <w:szCs w:val="20"/>
        </w:rPr>
        <w:t xml:space="preserve">Dimensiones de las redes Actor-Crítico.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200"/>
        <w:gridCol w:w="1626"/>
      </w:tblGrid>
      <w:tr>
        <w:trPr>
          <w:cantSplit/>
          <w:tblHeader/>
        </w:trPr>
        <w:tc>
          <w:tcPr>
            <w:tcW w:type="dxa" w:w="28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Red</w:t>
            </w:r>
          </w:p>
        </w:tc>
        <w:tc>
          <w:tcPr>
            <w:tcW w:type="dxa" w:w="1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Entrada</w:t>
            </w:r>
          </w:p>
        </w:tc>
        <w:tc>
          <w:tcPr>
            <w:tcW w:type="dxa" w:w="32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Salida del actor</w:t>
            </w:r>
          </w:p>
        </w:tc>
        <w:tc>
          <w:tcPr>
            <w:tcW w:type="dxa" w:w="16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Salida del crítico</w:t>
            </w:r>
          </w:p>
        </w:tc>
      </w:tr>
      <w:tr>
        <w:trPr>
          <w:cantSplit/>
        </w:trPr>
        <w:tc>
          <w:tcPr>
            <w:tcW w:type="dxa" w:w="2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Maestro (MasterActorCritic)</w:t>
            </w:r>
          </w:p>
        </w:tc>
        <w:tc>
          <w:tcPr>
            <w:tcW w:type="dxa" w:w="1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7 (S_M)</w:t>
            </w:r>
          </w:p>
        </w:tc>
        <w:tc>
          <w:tcPr>
            <w:tcW w:type="dxa" w:w="3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40 logits (10 fracciones × 4 ventanas)</w:t>
            </w:r>
          </w:p>
        </w:tc>
        <w:tc>
          <w:tcPr>
            <w:tcW w:type="dxa" w:w="1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1</w:t>
            </w:r>
          </w:p>
        </w:tc>
      </w:tr>
      <w:tr>
        <w:trPr>
          <w:cantSplit/>
        </w:trPr>
        <w:tc>
          <w:tcPr>
            <w:tcW w:type="dxa" w:w="28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9"/>
                <w:szCs w:val="19"/>
              </w:rPr>
              <w:t xml:space="preserve">Ejecutor (ExecutorActorCritic)</w:t>
            </w:r>
          </w:p>
        </w:tc>
        <w:tc>
          <w:tcPr>
            <w:tcW w:type="dxa" w:w="1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9"/>
                <w:szCs w:val="19"/>
              </w:rPr>
              <w:t xml:space="preserve">27 (S_E)</w:t>
            </w:r>
          </w:p>
        </w:tc>
        <w:tc>
          <w:tcPr>
            <w:tcW w:type="dxa" w:w="32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9"/>
                <w:szCs w:val="19"/>
              </w:rPr>
              <w:t xml:space="preserve">240 logits (3 × 10 × 8)</w:t>
            </w:r>
          </w:p>
        </w:tc>
        <w:tc>
          <w:tcPr>
            <w:tcW w:type="dxa" w:w="1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9"/>
                <w:szCs w:val="19"/>
              </w:rPr>
              <w:t xml:space="preserve">1</w:t>
            </w:r>
          </w:p>
        </w:tc>
      </w:tr>
    </w:tbl>
    <w:p>
      <w:pPr>
        <w:spacing w:after="100"/>
      </w:pPr>
    </w:p>
    <w:p>
      <w:pPr>
        <w:keepNext w:val="false"/>
        <w:spacing w:after="120" w:before="0" w:line="276"/>
        <w:jc w:val="both"/>
      </w:pPr>
      <w:r>
        <w:t xml:space="preserve">Que ambas redes tengan una única cabeza categórica obligó a definir las conversiones entre el índice plano que produce la red y el formato que espera cada entorno (decisión 3 de la sección 4.3). Dos desviaciones respecto de la especificación original del plan quedaron documentadas: la red del Maestro usa 256 neuronas por capa (el plan indicaba 64), sin inicialización de Xavier ni Dropout y con una sola cabeza de 40 salidas, y las redes de los Ejecutores son totalmente discretas (240 salidas) con 27 entradas en vez de 26. La fábrica </w:t>
      </w:r>
      <w:r>
        <w:rPr>
          <w:rFonts w:ascii="Courier New" w:cs="Courier New" w:eastAsia="Courier New" w:hAnsi="Courier New"/>
          <w:sz w:val="20"/>
          <w:szCs w:val="20"/>
        </w:rPr>
        <w:t xml:space="preserve">make_hierarchy()</w:t>
      </w:r>
      <w:r>
        <w:t xml:space="preserve"> crea el Maestro y los tres Ejecutores. Los hiperparámetros de arquitectura (tamaño y profundidad) se ajustarán en el sprint 6.</w:t>
      </w:r>
    </w:p>
    <w:p>
      <w:pPr>
        <w:pStyle w:val="Heading2"/>
      </w:pPr>
      <w:r>
        <w:t xml:space="preserve">4.3 Decisiones de diseño y su justificación</w:t>
      </w:r>
    </w:p>
    <w:p>
      <w:pPr>
        <w:keepNext w:val="false"/>
        <w:spacing w:after="120" w:before="0" w:line="276"/>
        <w:jc w:val="both"/>
      </w:pPr>
      <w:r>
        <w:t xml:space="preserve">Durante el desarrollo se tomaron decisiones que condicionan el resto del trabajo. La tabla siguiente las resume, con las alternativas consideradas y la razón de cada elección.</w:t>
      </w:r>
    </w:p>
    <w:p>
      <w:pPr>
        <w:keepNext/>
        <w:spacing w:after="80" w:before="160"/>
        <w:jc w:val="left"/>
      </w:pPr>
      <w:r>
        <w:rPr>
          <w:b/>
          <w:bCs/>
          <w:color w:val="1E2761"/>
          <w:sz w:val="20"/>
          <w:szCs w:val="20"/>
        </w:rPr>
        <w:t xml:space="preserve">Tabla II-8. </w:t>
      </w:r>
      <w:r>
        <w:rPr>
          <w:color w:val="1E2761"/>
          <w:sz w:val="20"/>
          <w:szCs w:val="20"/>
        </w:rPr>
        <w:t xml:space="preserve">Decisiones de diseño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Decisión</w:t>
            </w:r>
          </w:p>
        </w:tc>
        <w:tc>
          <w:tcPr>
            <w:tcW w:type="dxa" w:w="2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Alternativas</w:t>
            </w:r>
          </w:p>
        </w:tc>
        <w:tc>
          <w:tcPr>
            <w:tcW w:type="dxa" w:w="36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Justificación</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8"/>
                <w:szCs w:val="18"/>
              </w:rPr>
              <w:t xml:space="preserve">1.</w:t>
            </w:r>
            <w:r>
              <w:rPr>
                <w:sz w:val="18"/>
                <w:szCs w:val="18"/>
              </w:rPr>
              <w:t xml:space="preserve"> Extender ABIDES-Gym mediante un adaptador que habla el formato del proyecto (27 variables y 240 acciones).</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Reducir el diseño del proyecto al formato nativo de ABIDES-Gym (3 acciones y unas 8 variables).</w:t>
            </w:r>
          </w:p>
        </w:tc>
        <w:tc>
          <w:tcPr>
            <w:tcW w:type="dxa" w:w="3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Mantiene la fidelidad al diseño aprobado en la Parte I en lugar de simplificarlo por comodidad técnica. Costo: hay que traducir acciones y estados (sección 5.4).</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b/>
                <w:bCs/>
                <w:sz w:val="18"/>
                <w:szCs w:val="18"/>
              </w:rPr>
              <w:t xml:space="preserve">2.</w:t>
            </w:r>
            <w:r>
              <w:rPr>
                <w:sz w:val="18"/>
                <w:szCs w:val="18"/>
              </w:rPr>
              <w:t xml:space="preserve"> Construir un simulador de Poisson como alternativa liviana, calibrado con datos reales, y usarlo como entorno de prueba.</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Esperar a que ABIDES-Gym estuviera instalado para continuar.</w:t>
            </w:r>
          </w:p>
        </w:tc>
        <w:tc>
          <w:tcPr>
            <w:tcW w:type="dxa" w:w="3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ABIDES-Gym es difícil de instalar (repositorio archivado, versiones muy específicas). Con el simulador se evitó bloquear el desarrollo; es la alternativa que el propio Título I (sección 4.3.3) contemplaba.</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8"/>
                <w:szCs w:val="18"/>
              </w:rPr>
              <w:t xml:space="preserve">3.</w:t>
            </w:r>
            <w:r>
              <w:rPr>
                <w:sz w:val="18"/>
                <w:szCs w:val="18"/>
              </w:rPr>
              <w:t xml:space="preserve"> Usar una cabeza categórica única en cada red y convertir índices planos con </w:t>
            </w:r>
            <w:r>
              <w:rPr>
                <w:rFonts w:ascii="Courier New" w:cs="Courier New" w:eastAsia="Courier New" w:hAnsi="Courier New"/>
                <w:sz w:val="16"/>
                <w:szCs w:val="16"/>
              </w:rPr>
              <w:t xml:space="preserve">decode_flat</w:t>
            </w:r>
            <w:r>
              <w:rPr>
                <w:sz w:val="18"/>
                <w:szCs w:val="18"/>
              </w:rPr>
              <w:t xml:space="preserve"> y </w:t>
            </w:r>
            <w:r>
              <w:rPr>
                <w:rFonts w:ascii="Courier New" w:cs="Courier New" w:eastAsia="Courier New" w:hAnsi="Courier New"/>
                <w:sz w:val="16"/>
                <w:szCs w:val="16"/>
              </w:rPr>
              <w:t xml:space="preserve">encode_flat</w:t>
            </w:r>
            <w:r>
              <w:rPr>
                <w:sz w:val="18"/>
                <w:szCs w:val="18"/>
              </w:rPr>
              <w:t xml:space="preserve">.</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Cabezas separadas por componente de la acción (tipo, volumen, precio).</w:t>
            </w:r>
          </w:p>
        </w:tc>
        <w:tc>
          <w:tcPr>
            <w:tcW w:type="dxa" w:w="3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Una distribución categórica única es más simple de entrenar con PPO y de analizar (entropía, probabilidades). Se pierde la factorización por componente.</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b/>
                <w:bCs/>
                <w:sz w:val="18"/>
                <w:szCs w:val="18"/>
              </w:rPr>
              <w:t xml:space="preserve">4.</w:t>
            </w:r>
            <w:r>
              <w:rPr>
                <w:sz w:val="18"/>
                <w:szCs w:val="18"/>
              </w:rPr>
              <w:t xml:space="preserve"> Discretizar completamente la acción del Ejecutor (MultiDiscrete([3, 10, 8])).</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Acción híbrida: tipo y precio discretos, volumen continuo (Parte I).</w:t>
            </w:r>
          </w:p>
        </w:tc>
        <w:tc>
          <w:tcPr>
            <w:tcW w:type="dxa" w:w="3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Es consistente con la cabeza categórica única y evita mezclar distribuciones discretas y continuas. El volumen queda en 10 niveles de 0,1 a 1,0.</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8"/>
                <w:szCs w:val="18"/>
              </w:rPr>
              <w:t xml:space="preserve">5.</w:t>
            </w:r>
            <w:r>
              <w:rPr>
                <w:sz w:val="18"/>
                <w:szCs w:val="18"/>
              </w:rPr>
              <w:t xml:space="preserve"> Interpretar la venta límite como esperar.</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Modelar ventas.</w:t>
            </w:r>
          </w:p>
        </w:tc>
        <w:tc>
          <w:tcPr>
            <w:tcW w:type="dxa" w:w="3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El proyecto solo modela compras de meta-órdenes; así el espacio de acción conserva su forma sin agregar un comportamiento fuera de alcance.</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b/>
                <w:bCs/>
                <w:sz w:val="18"/>
                <w:szCs w:val="18"/>
              </w:rPr>
              <w:t xml:space="preserve">6.</w:t>
            </w:r>
            <w:r>
              <w:rPr>
                <w:sz w:val="18"/>
                <w:szCs w:val="18"/>
              </w:rPr>
              <w:t xml:space="preserve"> Ejecutar TWAP y VWAP fuera del Maestro, como reglas simples.</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Forzarlos a usar las 10 fracciones discretas del Maestro.</w:t>
            </w:r>
          </w:p>
        </w:tc>
        <w:tc>
          <w:tcPr>
            <w:tcW w:type="dxa" w:w="3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La discretización introduciría un error ajeno a la definición clásica (fracciones continuas de Q/T). Reutilizan el mismo Ejecutor y las mismas métricas, de modo que la comparación sigue siendo directa.</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8"/>
                <w:szCs w:val="18"/>
              </w:rPr>
              <w:t xml:space="preserve">7.</w:t>
            </w:r>
            <w:r>
              <w:rPr>
                <w:sz w:val="18"/>
                <w:szCs w:val="18"/>
              </w:rPr>
              <w:t xml:space="preserve"> Dejar λ y β como parámetros por calibrar, sin fijar un valor provisional.</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Adoptar valores razonables de la literatura.</w:t>
            </w:r>
          </w:p>
        </w:tc>
        <w:tc>
          <w:tcPr>
            <w:tcW w:type="dxa" w:w="3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El Título I establece que se calibran experimentalmente. Fijarlos antes de tener corridas reales sesgaría los resultados.</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b/>
                <w:bCs/>
                <w:sz w:val="18"/>
                <w:szCs w:val="18"/>
              </w:rPr>
              <w:t xml:space="preserve">8.</w:t>
            </w:r>
            <w:r>
              <w:rPr>
                <w:sz w:val="18"/>
                <w:szCs w:val="18"/>
              </w:rPr>
              <w:t xml:space="preserve"> Validar el simulador comparando la forma del spread entre tramos, no su magnitud.</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Comparar valores absolutos.</w:t>
            </w:r>
          </w:p>
        </w:tc>
        <w:tc>
          <w:tcPr>
            <w:tcW w:type="dxa" w:w="3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El simulador aún no está calibrado al IPSA y sus valores están normalizados; las magnitudes no son comparables todavía.</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8"/>
                <w:szCs w:val="18"/>
              </w:rPr>
              <w:t xml:space="preserve">9.</w:t>
            </w:r>
            <w:r>
              <w:rPr>
                <w:sz w:val="18"/>
                <w:szCs w:val="18"/>
              </w:rPr>
              <w:t xml:space="preserve"> Calibrar Poisson excluyendo la subasta de cierre y winsorizando el volumen en el percentil 99.</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Usar todo el volumen observado.</w:t>
            </w:r>
          </w:p>
        </w:tc>
        <w:tc>
          <w:tcPr>
            <w:tcW w:type="dxa" w:w="3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Las operaciones en bloque y la subasta no son flujo continuo de órdenes; sin winsorizar, λ⁺ de apertura de FALABELLA pasa de 5,37 a 29,06.</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b/>
                <w:bCs/>
                <w:sz w:val="18"/>
                <w:szCs w:val="18"/>
              </w:rPr>
              <w:t xml:space="preserve">10.</w:t>
            </w:r>
            <w:r>
              <w:rPr>
                <w:sz w:val="18"/>
                <w:szCs w:val="18"/>
              </w:rPr>
              <w:t xml:space="preserve"> Mantener la fórmula de R_E del Título I con un β pequeño y una regla de vigilancia (decisión D3).</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Cobrar el riesgo sobre el inventario pendiente; apagar el término de riesgo (β = 0); agregar un premio por cumplimiento.</w:t>
            </w:r>
          </w:p>
        </w:tc>
        <w:tc>
          <w:tcPr>
            <w:tcW w:type="dxa" w:w="3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Es la opción más fiel al Título I y la calibración muestra que el riesgo solo puede pesar poco (con β alto la red deja de operar). La opción de riesgo sobre lo pendiente queda implementada y se activa si el cumplimiento baja del 95 %.</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8"/>
                <w:szCs w:val="18"/>
              </w:rPr>
              <w:t xml:space="preserve">11.</w:t>
            </w:r>
            <w:r>
              <w:rPr>
                <w:sz w:val="18"/>
                <w:szCs w:val="18"/>
              </w:rPr>
              <w:t xml:space="preserve"> Fijar las reglas de adopción y los criterios de validación antes de ver los datos, y reportar los resultados desfavorables.</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Ajustar el criterio después de ver los resultados.</w:t>
            </w:r>
          </w:p>
        </w:tc>
        <w:tc>
          <w:tcPr>
            <w:tcW w:type="dxa" w:w="3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Evita el sesgo de elegir lo que luce bien. Gracias a esto, la grilla de actividad baja y los megashocks se descartaron con una regla explícita y los límites del simulador quedaron escritos.</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b/>
                <w:bCs/>
                <w:sz w:val="18"/>
                <w:szCs w:val="18"/>
              </w:rPr>
              <w:t xml:space="preserve">12.</w:t>
            </w:r>
            <w:r>
              <w:rPr>
                <w:sz w:val="18"/>
                <w:szCs w:val="18"/>
              </w:rPr>
              <w:t xml:space="preserve"> En COPEC y ECL usar 3 agentes de momentum en vez de 12 y ajustar </w:t>
            </w:r>
            <w:r>
              <w:rPr>
                <w:rFonts w:ascii="Courier New" w:cs="Courier New" w:eastAsia="Courier New" w:hAnsi="Courier New"/>
                <w:sz w:val="16"/>
                <w:szCs w:val="16"/>
              </w:rPr>
              <w:t xml:space="preserve">fund_vol</w:t>
            </w:r>
            <w:r>
              <w:rPr>
                <w:sz w:val="18"/>
                <w:szCs w:val="18"/>
              </w:rPr>
              <w:t xml:space="preserve"> por tramo.</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Mantener los 12 agentes por defecto; apagar el momentum.</w:t>
            </w:r>
          </w:p>
        </w:tc>
        <w:tc>
          <w:tcPr>
            <w:tcW w:type="dxa" w:w="3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Con 250 a 500 agentes de ruido los 12 de momentum desestabilizaban el mercado; 3 mantiene la proporción de FALABELLA y conserva el volumen que aporta el momentum.</w:t>
            </w:r>
          </w:p>
        </w:tc>
      </w:tr>
    </w:tbl>
    <w:p>
      <w:pPr>
        <w:spacing w:after="100"/>
      </w:pPr>
    </w:p>
    <w:p>
      <w:r>
        <w:br w:type="page"/>
      </w:r>
    </w:p>
    <w:p>
      <w:pPr>
        <w:pStyle w:val="Heading1"/>
      </w:pPr>
      <w:r>
        <w:t xml:space="preserve">Capítulo 5. Implementación del sistema</w:t>
      </w:r>
    </w:p>
    <w:p>
      <w:pPr>
        <w:keepNext w:val="false"/>
        <w:spacing w:after="120" w:before="0" w:line="276"/>
        <w:jc w:val="both"/>
      </w:pPr>
      <w:r>
        <w:t xml:space="preserve">El prototipo está escrito en Python. Cada componente vive en un módulo del repositorio y tiene pruebas automáticas (sección 6.4). Este capítulo describe qué hace cada uno, cómo se verificó y dónde están sus límites actuales.</w:t>
      </w:r>
    </w:p>
    <w:p>
      <w:pPr>
        <w:pStyle w:val="Heading2"/>
      </w:pPr>
      <w:r>
        <w:t xml:space="preserve">5.1 Pipeline de datos</w:t>
      </w:r>
    </w:p>
    <w:p>
      <w:pPr>
        <w:keepNext w:val="false"/>
        <w:spacing w:after="120" w:before="0" w:line="276"/>
        <w:jc w:val="both"/>
      </w:pPr>
      <w:r>
        <w:t xml:space="preserve">El pipeline se compone de tres scripts: </w:t>
      </w:r>
      <w:r>
        <w:rPr>
          <w:rFonts w:ascii="Courier New" w:cs="Courier New" w:eastAsia="Courier New" w:hAnsi="Courier New"/>
          <w:sz w:val="20"/>
          <w:szCs w:val="20"/>
        </w:rPr>
        <w:t xml:space="preserve">download_ohlcv.py</w:t>
      </w:r>
      <w:r>
        <w:t xml:space="preserve"> (descarga), </w:t>
      </w:r>
      <w:r>
        <w:rPr>
          <w:rFonts w:ascii="Courier New" w:cs="Courier New" w:eastAsia="Courier New" w:hAnsi="Courier New"/>
          <w:sz w:val="20"/>
          <w:szCs w:val="20"/>
        </w:rPr>
        <w:t xml:space="preserve">clean_ohlcv.py</w:t>
      </w:r>
      <w:r>
        <w:t xml:space="preserve"> (limpieza) y </w:t>
      </w:r>
      <w:r>
        <w:rPr>
          <w:rFonts w:ascii="Courier New" w:cs="Courier New" w:eastAsia="Courier New" w:hAnsi="Courier New"/>
          <w:sz w:val="20"/>
          <w:szCs w:val="20"/>
        </w:rPr>
        <w:t xml:space="preserve">build_sm_features.py</w:t>
      </w:r>
      <w:r>
        <w:t xml:space="preserve"> (variables del Maestro), todos con interfaz de línea de comandos y con la fecha del snapshot como parámetro. Los pasos de limpieza y construcción de variables son deterministas dado un archivo de entrada fijo, lo que permite reproducir las cifras reportadas. Se verificó con 13 pruebas automáticas y con controles visuales: el perfil de volumen intradiario de FALABELLA muestra su máximo en la vela de las 15:55, coherente con la fusión de la subasta de cierre en esa vela.</w:t>
      </w:r>
    </w:p>
    <w:p>
      <w:pPr>
        <w:keepNext/>
        <w:spacing w:after="40" w:before="120"/>
        <w:jc w:val="center"/>
      </w:pPr>
      <w:r>
        <w:drawing>
          <wp:inline distT="0" distB="0" distL="0" distR="0">
            <wp:extent cx="4953000" cy="1800225"/>
            <wp:effectExtent t="0" r="0" b="0" l="0"/>
            <wp:docPr id="4" name="FALABELLA_volumen_intradiario.png" descr="Perfil intradiario de volumen de FALABELLA (control de calidad del pipeline)." title="Perfil intradiario de volumen de FALABELLA (control de calidad de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00225"/>
                    </a:xfrm>
                    <a:prstGeom prst="rect">
                      <a:avLst/>
                    </a:prstGeom>
                  </pic:spPr>
                </pic:pic>
              </a:graphicData>
            </a:graphic>
          </wp:inline>
        </w:drawing>
      </w:r>
    </w:p>
    <w:p>
      <w:pPr>
        <w:spacing w:after="200" w:before="60"/>
        <w:jc w:val="center"/>
      </w:pPr>
      <w:r>
        <w:rPr>
          <w:b/>
          <w:bCs/>
          <w:color w:val="1E2761"/>
          <w:sz w:val="20"/>
          <w:szCs w:val="20"/>
        </w:rPr>
        <w:t xml:space="preserve">Figura II-3. </w:t>
      </w:r>
      <w:r>
        <w:rPr>
          <w:color w:val="1E2761"/>
          <w:sz w:val="20"/>
          <w:szCs w:val="20"/>
        </w:rPr>
        <w:t xml:space="preserve">Perfil intradiario de volumen de FALABELLA (control de calidad del pipeline).</w:t>
      </w:r>
    </w:p>
    <w:p>
      <w:pPr>
        <w:pStyle w:val="Heading2"/>
      </w:pPr>
      <w:r>
        <w:t xml:space="preserve">5.2 Espacios de estado y de acción (Gymnasium)</w:t>
      </w:r>
    </w:p>
    <w:p>
      <w:pPr>
        <w:keepNext w:val="false"/>
        <w:spacing w:after="120" w:before="0" w:line="276"/>
        <w:jc w:val="both"/>
      </w:pPr>
      <w:r>
        <w:t xml:space="preserve">Los espacios se formalizaron como clases de Gymnasium en el módulo </w:t>
      </w:r>
      <w:r>
        <w:rPr>
          <w:rFonts w:ascii="Courier New" w:cs="Courier New" w:eastAsia="Courier New" w:hAnsi="Courier New"/>
          <w:sz w:val="20"/>
          <w:szCs w:val="20"/>
        </w:rPr>
        <w:t xml:space="preserve">spaces.py</w:t>
      </w:r>
      <w:r>
        <w:t xml:space="preserve">. Los rangos y las dimensiones no están escritos en el código: se cargan en tiempo de ejecución desde los esquemas versionados (</w:t>
      </w:r>
      <w:r>
        <w:rPr>
          <w:rFonts w:ascii="Courier New" w:cs="Courier New" w:eastAsia="Courier New" w:hAnsi="Courier New"/>
          <w:sz w:val="20"/>
          <w:szCs w:val="20"/>
        </w:rPr>
        <w:t xml:space="preserve">SM_schema.json</w:t>
      </w:r>
      <w:r>
        <w:t xml:space="preserve"> y </w:t>
      </w:r>
      <w:r>
        <w:rPr>
          <w:rFonts w:ascii="Courier New" w:cs="Courier New" w:eastAsia="Courier New" w:hAnsi="Courier New"/>
          <w:sz w:val="20"/>
          <w:szCs w:val="20"/>
        </w:rPr>
        <w:t xml:space="preserve">SE_schema.json</w:t>
      </w:r>
      <w:r>
        <w:t xml:space="preserve">), de modo que un cambio de contrato se hace en el esquema y no en el código. El módulo ofrece:</w:t>
      </w:r>
    </w:p>
    <w:p>
      <w:pPr>
        <w:pStyle w:val="ListParagraph"/>
        <w:numPr>
          <w:ilvl w:val="0"/>
          <w:numId w:val="2"/>
        </w:numPr>
        <w:spacing w:after="60" w:line="276"/>
        <w:jc w:val="both"/>
      </w:pPr>
      <w:r>
        <w:rPr>
          <w:rFonts w:ascii="Courier New" w:cs="Courier New" w:eastAsia="Courier New" w:hAnsi="Courier New"/>
          <w:sz w:val="20"/>
          <w:szCs w:val="20"/>
        </w:rPr>
        <w:t xml:space="preserve">MaestroSpace</w:t>
      </w:r>
      <w:r>
        <w:t xml:space="preserve"> y </w:t>
      </w:r>
      <w:r>
        <w:rPr>
          <w:rFonts w:ascii="Courier New" w:cs="Courier New" w:eastAsia="Courier New" w:hAnsi="Courier New"/>
          <w:sz w:val="20"/>
          <w:szCs w:val="20"/>
        </w:rPr>
        <w:t xml:space="preserve">EjecutorSpace</w:t>
      </w:r>
      <w:r>
        <w:t xml:space="preserve">: espacios de observación de tipo Box (7 y 27 dimensiones).</w:t>
      </w:r>
    </w:p>
    <w:p>
      <w:pPr>
        <w:pStyle w:val="ListParagraph"/>
        <w:numPr>
          <w:ilvl w:val="0"/>
          <w:numId w:val="2"/>
        </w:numPr>
        <w:spacing w:after="60" w:line="276"/>
        <w:jc w:val="both"/>
      </w:pPr>
      <w:r>
        <w:rPr>
          <w:rFonts w:ascii="Courier New" w:cs="Courier New" w:eastAsia="Courier New" w:hAnsi="Courier New"/>
          <w:sz w:val="20"/>
          <w:szCs w:val="20"/>
        </w:rPr>
        <w:t xml:space="preserve">MaestroDiscreteActionSpace</w:t>
      </w:r>
      <w:r>
        <w:t xml:space="preserve">: espacio Discrete(40) con conversión entre el índice plano y el par (fracción, ventana).</w:t>
      </w:r>
    </w:p>
    <w:p>
      <w:pPr>
        <w:pStyle w:val="ListParagraph"/>
        <w:numPr>
          <w:ilvl w:val="0"/>
          <w:numId w:val="2"/>
        </w:numPr>
        <w:spacing w:after="60" w:line="276"/>
        <w:jc w:val="both"/>
      </w:pPr>
      <w:r>
        <w:rPr>
          <w:rFonts w:ascii="Courier New" w:cs="Courier New" w:eastAsia="Courier New" w:hAnsi="Courier New"/>
          <w:sz w:val="20"/>
          <w:szCs w:val="20"/>
        </w:rPr>
        <w:t xml:space="preserve">EjecutorActionSpace</w:t>
      </w:r>
      <w:r>
        <w:t xml:space="preserve">: espacio MultiDiscrete([3, 10, 8]) con </w:t>
      </w:r>
      <w:r>
        <w:rPr>
          <w:rFonts w:ascii="Courier New" w:cs="Courier New" w:eastAsia="Courier New" w:hAnsi="Courier New"/>
          <w:sz w:val="20"/>
          <w:szCs w:val="20"/>
        </w:rPr>
        <w:t xml:space="preserve">decode_flat</w:t>
      </w:r>
      <w:r>
        <w:t xml:space="preserve"> y </w:t>
      </w:r>
      <w:r>
        <w:rPr>
          <w:rFonts w:ascii="Courier New" w:cs="Courier New" w:eastAsia="Courier New" w:hAnsi="Courier New"/>
          <w:sz w:val="20"/>
          <w:szCs w:val="20"/>
        </w:rPr>
        <w:t xml:space="preserve">encode_flat</w:t>
      </w:r>
      <w:r>
        <w:t xml:space="preserve">, que traducen entre el índice plano 0–239 que produce la red y los tres componentes de la acción.</w:t>
      </w:r>
    </w:p>
    <w:p>
      <w:pPr>
        <w:keepNext w:val="false"/>
        <w:spacing w:after="120" w:before="0" w:line="276"/>
        <w:jc w:val="both"/>
      </w:pPr>
      <w:r>
        <w:t xml:space="preserve">Estas conversiones resolvieron un desajuste real detectado durante la integración: el entorno del Maestro tenía originalmente una acción continua, mientras que la red del Maestro produce una acción discreta de 40 valores. Con el espacio discreto y las funciones de conversión, la acción muestreada por la red se decodifica correctamente en el entorno.</w:t>
      </w:r>
    </w:p>
    <w:p>
      <w:pPr>
        <w:pStyle w:val="Heading2"/>
      </w:pPr>
      <w:r>
        <w:t xml:space="preserve">5.3 Calibración de Poisson y simulador liviano</w:t>
      </w:r>
    </w:p>
    <w:p>
      <w:pPr>
        <w:keepNext w:val="false"/>
        <w:spacing w:after="120" w:before="0" w:line="276"/>
        <w:jc w:val="both"/>
      </w:pPr>
      <w:r>
        <w:t xml:space="preserve">Siguiendo a Cont, Stoikov y Talreja (2010) y la sección 4.3.3 de la Parte I, la llegada de órdenes al libro se describe con tres intensidades: λ⁺ (órdenes de compra), λ⁻ (órdenes de venta) y θ (cancelaciones), expresadas por paso de 30 segundos. Se estimó un triple por cada ticker y tramo horario (90 combinaciones) sobre el snapshot de agosto:</w:t>
      </w:r>
    </w:p>
    <w:p>
      <w:pPr>
        <w:pStyle w:val="ListParagraph"/>
        <w:numPr>
          <w:ilvl w:val="0"/>
          <w:numId w:val="2"/>
        </w:numPr>
        <w:spacing w:after="60" w:line="276"/>
        <w:jc w:val="both"/>
      </w:pPr>
      <w:r>
        <w:rPr>
          <w:b/>
          <w:bCs/>
        </w:rPr>
        <w:t xml:space="preserve">λ⁺ y λ⁻</w:t>
      </w:r>
      <w:r>
        <w:t xml:space="preserve"> se estiman a partir del volumen firmado de cada vela. El signo se obtiene del cuerpo de la vela (cierre menos apertura), con la regla del tick como respaldo; el volumen se winsoriza en el percentil 99 y se divide por un tamaño medio de orden supuesto (un nocional fijo de un millón de pesos por orden, porque la fuente no entrega el número de transacciones).</w:t>
      </w:r>
    </w:p>
    <w:p>
      <w:pPr>
        <w:pStyle w:val="ListParagraph"/>
        <w:numPr>
          <w:ilvl w:val="0"/>
          <w:numId w:val="2"/>
        </w:numPr>
        <w:spacing w:after="60" w:line="276"/>
        <w:jc w:val="both"/>
      </w:pPr>
      <w:r>
        <w:rPr>
          <w:b/>
          <w:bCs/>
        </w:rPr>
        <w:t xml:space="preserve">θ</w:t>
      </w:r>
      <w:r>
        <w:t xml:space="preserve"> se aproxima por la persistencia del rango máximo–mínimo entre velas consecutivas (autocorrelación de orden 1), ya que sin Nivel 2 no se observan cancelaciones.</w:t>
      </w:r>
    </w:p>
    <w:p>
      <w:pPr>
        <w:pStyle w:val="ListParagraph"/>
        <w:numPr>
          <w:ilvl w:val="0"/>
          <w:numId w:val="2"/>
        </w:numPr>
        <w:spacing w:after="60" w:line="276"/>
        <w:jc w:val="both"/>
      </w:pPr>
      <w:r>
        <w:t xml:space="preserve">Se excluyen las velas imputadas y la vela de las 15:55 (subasta de cierre).</w:t>
      </w:r>
    </w:p>
    <w:p>
      <w:pPr>
        <w:keepNext/>
        <w:spacing w:after="80" w:before="160"/>
        <w:jc w:val="left"/>
      </w:pPr>
      <w:r>
        <w:rPr>
          <w:b/>
          <w:bCs/>
          <w:color w:val="1E2761"/>
          <w:sz w:val="20"/>
          <w:szCs w:val="20"/>
        </w:rPr>
        <w:t xml:space="preserve">Tabla II-9. </w:t>
      </w:r>
      <w:r>
        <w:rPr>
          <w:color w:val="1E2761"/>
          <w:sz w:val="20"/>
          <w:szCs w:val="20"/>
        </w:rPr>
        <w:t xml:space="preserve">Parámetros calibrados para FALABELLA (órdenes y cancelaciones por paso de 30 segundos).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700"/>
        <w:gridCol w:w="1326"/>
      </w:tblGrid>
      <w:tr>
        <w:trPr>
          <w:cantSplit/>
          <w:tblHeader/>
        </w:trPr>
        <w:tc>
          <w:tcPr>
            <w:tcW w:type="dxa" w:w="21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Tramo</w:t>
            </w:r>
          </w:p>
        </w:tc>
        <w:tc>
          <w:tcPr>
            <w:tcW w:type="dxa" w:w="1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λ⁺</w:t>
            </w:r>
          </w:p>
        </w:tc>
        <w:tc>
          <w:tcPr>
            <w:tcW w:type="dxa" w:w="1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λ⁻</w:t>
            </w:r>
          </w:p>
        </w:tc>
        <w:tc>
          <w:tcPr>
            <w:tcW w:type="dxa" w:w="1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θ</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Estadístico KS</w:t>
            </w:r>
          </w:p>
        </w:tc>
        <w:tc>
          <w:tcPr>
            <w:tcW w:type="dxa" w:w="13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Roll (pb)</w:t>
            </w:r>
          </w:p>
        </w:tc>
      </w:tr>
      <w:tr>
        <w:trPr>
          <w:cantSplit/>
        </w:trPr>
        <w:tc>
          <w:tcPr>
            <w:tcW w:type="dxa" w:w="2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Apertura</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5,369</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5,126</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0,135</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0,100</w:t>
            </w:r>
          </w:p>
        </w:tc>
        <w:tc>
          <w:tcPr>
            <w:tcW w:type="dxa" w:w="1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35,3</w:t>
            </w:r>
          </w:p>
        </w:tc>
      </w:tr>
      <w:tr>
        <w:trPr>
          <w:cantSplit/>
        </w:trPr>
        <w:tc>
          <w:tcPr>
            <w:tcW w:type="dxa" w:w="2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Media jornada</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5,294</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5,511</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0,110</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0,116</w:t>
            </w:r>
          </w:p>
        </w:tc>
        <w:tc>
          <w:tcPr>
            <w:tcW w:type="dxa" w:w="1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23,8</w:t>
            </w:r>
          </w:p>
        </w:tc>
      </w:tr>
      <w:tr>
        <w:trPr>
          <w:cantSplit/>
        </w:trPr>
        <w:tc>
          <w:tcPr>
            <w:tcW w:type="dxa" w:w="2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Cierre</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6,400</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5,811</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0,100</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0,114</w:t>
            </w:r>
          </w:p>
        </w:tc>
        <w:tc>
          <w:tcPr>
            <w:tcW w:type="dxa" w:w="1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20,6</w:t>
            </w:r>
          </w:p>
        </w:tc>
      </w:tr>
    </w:tbl>
    <w:p>
      <w:pPr>
        <w:keepNext/>
        <w:spacing w:after="40" w:before="120"/>
        <w:jc w:val="center"/>
      </w:pPr>
      <w:r>
        <w:drawing>
          <wp:inline distT="0" distB="0" distL="0" distR="0">
            <wp:extent cx="5143500" cy="2971800"/>
            <wp:effectExtent t="0" r="0" b="0" l="0"/>
            <wp:docPr id="5" name="FALABELLA_poisson_por_tramo.png" descr="Calibración de Poisson de FALABELLA por tramo horario (retornos simulados frente a observados)." title="Calibración de Poisson de FALABELLA por tramo horario (retornos simulados frente a ob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71800"/>
                    </a:xfrm>
                    <a:prstGeom prst="rect">
                      <a:avLst/>
                    </a:prstGeom>
                  </pic:spPr>
                </pic:pic>
              </a:graphicData>
            </a:graphic>
          </wp:inline>
        </w:drawing>
      </w:r>
    </w:p>
    <w:p>
      <w:pPr>
        <w:spacing w:after="200" w:before="60"/>
        <w:jc w:val="center"/>
      </w:pPr>
      <w:r>
        <w:rPr>
          <w:b/>
          <w:bCs/>
          <w:color w:val="1E2761"/>
          <w:sz w:val="20"/>
          <w:szCs w:val="20"/>
        </w:rPr>
        <w:t xml:space="preserve">Figura II-4. </w:t>
      </w:r>
      <w:r>
        <w:rPr>
          <w:color w:val="1E2761"/>
          <w:sz w:val="20"/>
          <w:szCs w:val="20"/>
        </w:rPr>
        <w:t xml:space="preserve">Calibración de Poisson de FALABELLA por tramo horario (retornos simulados frente a observados).</w:t>
      </w:r>
    </w:p>
    <w:p>
      <w:pPr>
        <w:keepNext w:val="false"/>
        <w:spacing w:after="120" w:before="0" w:line="276"/>
        <w:jc w:val="both"/>
      </w:pPr>
      <w:r>
        <w:rPr>
          <w:b/>
          <w:bCs/>
        </w:rPr>
        <w:t xml:space="preserve">Validación.</w:t>
      </w:r>
      <w:r>
        <w:t xml:space="preserve"> Un test de Kolmogorov–Smirnov compara 5.000 retornos simulados con los observados. En los 90 pares ticker × tramo se rechaza al 5 % que ambas muestras provengan de la misma distribución (el mayor valor p es 0,0074); la mediana del estadístico es 0,178 en apertura, 0,172 en media jornada y 0,169 en cierre, con el mejor ajuste en SQM-B y el peor en IAM. La causa visible es que los retornos observados concentran mucha masa exactamente en cero y tienen colas más pesadas que la suma de 10 pasos de Poisson. El criterio fijado en el plan (valor p mayor que 0,05) no se cumple en ningún caso, y se reporta tal cual. La conclusión es que λ y θ calibrados sirven como </w:t>
      </w:r>
      <w:r>
        <w:rPr>
          <w:b/>
          <w:bCs/>
        </w:rPr>
        <w:t xml:space="preserve">intensidades de entrada</w:t>
      </w:r>
      <w:r>
        <w:t xml:space="preserve"> del simulador, no como generador directo de retornos de 5 minutos.</w:t>
      </w:r>
    </w:p>
    <w:p>
      <w:pPr>
        <w:keepNext w:val="false"/>
        <w:spacing w:after="120" w:before="0" w:line="276"/>
        <w:jc w:val="both"/>
      </w:pPr>
      <w:r>
        <w:rPr>
          <w:b/>
          <w:bCs/>
        </w:rPr>
        <w:t xml:space="preserve">Alternativa liviana.</w:t>
      </w:r>
      <w:r>
        <w:t xml:space="preserve"> Con esos parámetros se construyó un simulador de libro de 5 niveles por lado (</w:t>
      </w:r>
      <w:r>
        <w:rPr>
          <w:rFonts w:ascii="Courier New" w:cs="Courier New" w:eastAsia="Courier New" w:hAnsi="Courier New"/>
          <w:sz w:val="20"/>
          <w:szCs w:val="20"/>
        </w:rPr>
        <w:t xml:space="preserve">PoissonLOBSimulator</w:t>
      </w:r>
      <w:r>
        <w:t xml:space="preserve">) cuya dinámica depende de λ⁺, λ⁻ y θ del ticker y tramo elegidos. Su cálculo de ejecución a mercado se verificó contra el ejemplo del Título I: comprar 8.000 acciones consumiendo 2.000 a $5.800, 5.500 a $5.810 y 500 a $5.820 da un precio promedio de $5.808,125. Este simulador se usa como entorno de prueba local y como Ejecutor de los benchmarks; no reemplaza a ABIDES-Gym como entorno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FF3D1" w:color="auto" w:val="clear"/>
            <w:tcMar>
              <w:top w:type="dxa" w:w="100"/>
              <w:left w:type="dxa" w:w="160"/>
              <w:bottom w:type="dxa" w:w="100"/>
              <w:right w:type="dxa" w:w="160"/>
            </w:tcMar>
          </w:tcPr>
          <w:p>
            <w:pPr>
              <w:spacing w:after="60"/>
            </w:pPr>
            <w:r>
              <w:rPr>
                <w:b/>
                <w:bCs/>
                <w:color w:val="1E2761"/>
                <w:sz w:val="22"/>
                <w:szCs w:val="22"/>
              </w:rPr>
              <w:t xml:space="preserve">Limitaciones de la calibración</w:t>
            </w:r>
          </w:p>
          <w:p>
            <w:pPr>
              <w:keepNext/>
              <w:spacing w:after="60" w:line="264"/>
              <w:jc w:val="both"/>
            </w:pPr>
            <w:r>
              <w:rPr>
                <w:sz w:val="21"/>
                <w:szCs w:val="21"/>
              </w:rPr>
              <w:t xml:space="preserve">Sin Nivel 2, el signo del volumen, θ y el spread son aproximaciones construidas desde velas de 5 minutos, diez veces más gruesas que el paso del Ejecutor. Los 15 tickers de tier B concentran los parámetros menos confiables. Además, el snapshot termina el 21 de agosto de 2026, antes de la transición del IPSA a MSCI (1 de septiembre de 2026): los parámetros representan el régimen previo y conviene recalibrarlos antes de la evaluación final.</w:t>
            </w:r>
          </w:p>
        </w:tc>
      </w:tr>
    </w:tbl>
    <w:p>
      <w:pPr>
        <w:pStyle w:val="Heading2"/>
      </w:pPr>
      <w:r>
        <w:t xml:space="preserve">5.4 Integración con ABIDES-Gym</w:t>
      </w:r>
    </w:p>
    <w:p>
      <w:pPr>
        <w:keepNext w:val="false"/>
        <w:spacing w:after="120" w:before="0" w:line="276"/>
        <w:jc w:val="both"/>
      </w:pPr>
      <w:r>
        <w:t xml:space="preserve">ABIDES-Gym (JP Morgan) es el simulador de libro de órdenes que propone la Parte I. Su entorno de ejecución de órdenes (</w:t>
      </w:r>
      <w:r>
        <w:rPr>
          <w:rFonts w:ascii="Courier New" w:cs="Courier New" w:eastAsia="Courier New" w:hAnsi="Courier New"/>
          <w:sz w:val="20"/>
          <w:szCs w:val="20"/>
        </w:rPr>
        <w:t xml:space="preserve">markets-execution-v0</w:t>
      </w:r>
      <w:r>
        <w:t xml:space="preserve">) usa un formato propio de 3 acciones y unas 8 variables de estado, por lo que se construyó un adaptador (</w:t>
      </w:r>
      <w:r>
        <w:rPr>
          <w:rFonts w:ascii="Courier New" w:cs="Courier New" w:eastAsia="Courier New" w:hAnsi="Courier New"/>
          <w:sz w:val="20"/>
          <w:szCs w:val="20"/>
        </w:rPr>
        <w:t xml:space="preserve">ExecutionEnv27</w:t>
      </w:r>
      <w:r>
        <w:t xml:space="preserve"> y </w:t>
      </w:r>
      <w:r>
        <w:rPr>
          <w:rFonts w:ascii="Courier New" w:cs="Courier New" w:eastAsia="Courier New" w:hAnsi="Courier New"/>
          <w:sz w:val="20"/>
          <w:szCs w:val="20"/>
        </w:rPr>
        <w:t xml:space="preserve">EjecutorEnvAbides</w:t>
      </w:r>
      <w:r>
        <w:t xml:space="preserve">) que lo conecta con el contrato de 27 variables y 240 acciones del proyecto. La lógica de traducción vive en un módulo independiente (</w:t>
      </w:r>
      <w:r>
        <w:rPr>
          <w:rFonts w:ascii="Courier New" w:cs="Courier New" w:eastAsia="Courier New" w:hAnsi="Courier New"/>
          <w:sz w:val="20"/>
          <w:szCs w:val="20"/>
        </w:rPr>
        <w:t xml:space="preserve">abides_bridge.py</w:t>
      </w:r>
      <w:r>
        <w:t xml:space="preserve">) que no importa ABIDES y por eso puede probarse en cualquier equipo.</w:t>
      </w:r>
    </w:p>
    <w:p>
      <w:pPr>
        <w:keepNext/>
        <w:spacing w:after="80" w:before="160"/>
        <w:jc w:val="left"/>
      </w:pPr>
      <w:r>
        <w:rPr>
          <w:b/>
          <w:bCs/>
          <w:color w:val="1E2761"/>
          <w:sz w:val="20"/>
          <w:szCs w:val="20"/>
        </w:rPr>
        <w:t xml:space="preserve">Tabla II-10. </w:t>
      </w:r>
      <w:r>
        <w:rPr>
          <w:color w:val="1E2761"/>
          <w:sz w:val="20"/>
          <w:szCs w:val="20"/>
        </w:rPr>
        <w:t xml:space="preserve">Traducción de las acciones del Ejecutor a órdenes de ABIDES-Gym.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Tipo de orden</w:t>
            </w:r>
          </w:p>
        </w:tc>
        <w:tc>
          <w:tcPr>
            <w:tcW w:type="dxa" w:w="68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Efecto en ABIDES-Gym</w:t>
            </w:r>
          </w:p>
        </w:tc>
      </w:tr>
      <w:tr>
        <w:trPr>
          <w:cantSplit/>
        </w:trPr>
        <w:tc>
          <w:tcPr>
            <w:tcW w:type="dxa" w:w="2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Mercado</w:t>
            </w:r>
          </w:p>
        </w:tc>
        <w:tc>
          <w:tcPr>
            <w:tcW w:type="dxa" w:w="6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Cancela las órdenes vigentes y envía una orden de mercado por (fracción × inventario pendiente).</w:t>
            </w:r>
          </w:p>
        </w:tc>
      </w:tr>
      <w:tr>
        <w:trPr>
          <w:cantSplit/>
        </w:trPr>
        <w:tc>
          <w:tcPr>
            <w:tcW w:type="dxa" w:w="22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Compra límite</w:t>
            </w:r>
          </w:p>
        </w:tc>
        <w:tc>
          <w:tcPr>
            <w:tcW w:type="dxa" w:w="68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Cancela las órdenes vigentes y envía una orden límite a (mejor oferta de compra + nivel × 1 centavo); el nivel 0 es pasivo y el 7 el más agresivo.</w:t>
            </w:r>
          </w:p>
        </w:tc>
      </w:tr>
      <w:tr>
        <w:trPr>
          <w:cantSplit/>
        </w:trPr>
        <w:tc>
          <w:tcPr>
            <w:tcW w:type="dxa" w:w="2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Venta límite</w:t>
            </w:r>
          </w:p>
        </w:tc>
        <w:tc>
          <w:tcPr>
            <w:tcW w:type="dxa" w:w="6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Se interpreta como esperar (el proyecto solo modela compras).</w:t>
            </w:r>
          </w:p>
        </w:tc>
      </w:tr>
    </w:tbl>
    <w:p>
      <w:pPr>
        <w:spacing w:after="100"/>
      </w:pPr>
    </w:p>
    <w:p>
      <w:pPr>
        <w:keepNext w:val="false"/>
        <w:spacing w:after="120" w:before="0" w:line="276"/>
        <w:jc w:val="both"/>
      </w:pPr>
      <w:r>
        <w:t xml:space="preserve">Cada Ejecutor arranca en la hora real de su tramo y avanza en pasos de 30 segundos. La penalización por orden incompleta que ABIDES incluye de fábrica se anula, porque en este diseño esa función la cumple el parámetro λ de la recompensa del Maestro.</w:t>
      </w:r>
    </w:p>
    <w:p>
      <w:pPr>
        <w:keepNext w:val="false"/>
        <w:spacing w:after="120" w:before="0" w:line="276"/>
        <w:jc w:val="both"/>
      </w:pPr>
      <w:r>
        <w:rPr>
          <w:b/>
          <w:bCs/>
        </w:rPr>
        <w:t xml:space="preserve">Verificación.</w:t>
      </w:r>
      <w:r>
        <w:t xml:space="preserve"> Una corrida de un episodio por tramo con acciones aleatorias, ejecutada con ABIDES-Gym real, terminó sin errores en los tres tramos:</w:t>
      </w:r>
    </w:p>
    <w:p>
      <w:pPr>
        <w:keepNext/>
        <w:spacing w:after="80" w:before="160"/>
        <w:jc w:val="left"/>
      </w:pPr>
      <w:r>
        <w:rPr>
          <w:b/>
          <w:bCs/>
          <w:color w:val="1E2761"/>
          <w:sz w:val="20"/>
          <w:szCs w:val="20"/>
        </w:rPr>
        <w:t xml:space="preserve">Tabla II-11. </w:t>
      </w:r>
      <w:r>
        <w:rPr>
          <w:color w:val="1E2761"/>
          <w:sz w:val="20"/>
          <w:szCs w:val="20"/>
        </w:rPr>
        <w:t xml:space="preserve">Episodios de prueba contra ABIDES-Gym (política aleatoria, meta de 500 acciones).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826"/>
      </w:tblGrid>
      <w:tr>
        <w:trPr>
          <w:cantSplit/>
          <w:tblHeader/>
        </w:trPr>
        <w:tc>
          <w:tcPr>
            <w:tcW w:type="dxa" w:w="2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Tramo</w:t>
            </w:r>
          </w:p>
        </w:tc>
        <w:tc>
          <w:tcPr>
            <w:tcW w:type="dxa" w:w="1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Pasos</w:t>
            </w:r>
          </w:p>
        </w:tc>
        <w:tc>
          <w:tcPr>
            <w:tcW w:type="dxa" w:w="2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Recompensa total</w:t>
            </w:r>
          </w:p>
        </w:tc>
        <w:tc>
          <w:tcPr>
            <w:tcW w:type="dxa" w:w="28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Acciones ejecutadas</w:t>
            </w:r>
          </w:p>
        </w:tc>
      </w:tr>
      <w:tr>
        <w:trPr>
          <w:cantSplit/>
        </w:trPr>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Apertura</w:t>
            </w:r>
          </w:p>
        </w:tc>
        <w:tc>
          <w:tcPr>
            <w:tcW w:type="dxa" w:w="1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10</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−3,625</w:t>
            </w:r>
          </w:p>
        </w:tc>
        <w:tc>
          <w:tcPr>
            <w:tcW w:type="dxa" w:w="2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494 / 500</w:t>
            </w:r>
          </w:p>
        </w:tc>
      </w:tr>
      <w:tr>
        <w:trPr>
          <w:cantSplit/>
        </w:trPr>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Media jornada</w:t>
            </w:r>
          </w:p>
        </w:tc>
        <w:tc>
          <w:tcPr>
            <w:tcW w:type="dxa" w:w="1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10</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−4,810</w:t>
            </w:r>
          </w:p>
        </w:tc>
        <w:tc>
          <w:tcPr>
            <w:tcW w:type="dxa" w:w="28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491 / 500</w:t>
            </w:r>
          </w:p>
        </w:tc>
      </w:tr>
      <w:tr>
        <w:trPr>
          <w:cantSplit/>
        </w:trPr>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Cierre</w:t>
            </w:r>
          </w:p>
        </w:tc>
        <w:tc>
          <w:tcPr>
            <w:tcW w:type="dxa" w:w="1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6</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0,853</w:t>
            </w:r>
          </w:p>
        </w:tc>
        <w:tc>
          <w:tcPr>
            <w:tcW w:type="dxa" w:w="2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500 / 500 (orden completa)</w:t>
            </w:r>
          </w:p>
        </w:tc>
      </w:tr>
    </w:tbl>
    <w:p>
      <w:pPr>
        <w:spacing w:after="100"/>
      </w:pPr>
    </w:p>
    <w:p>
      <w:pPr>
        <w:keepNext w:val="false"/>
        <w:spacing w:after="120" w:before="0" w:line="276"/>
        <w:jc w:val="both"/>
      </w:pPr>
      <w:r>
        <w:t xml:space="preserve">Esta prueba solo demuestra que el circuito completo funciona; con una política aleatoria las recompensas no tienen valor evaluativo. Durante la puesta en marcha aparecieron dificultades concretas, que quedan registradas por su valor para quien reproduzca el trabajo:</w:t>
      </w:r>
    </w:p>
    <w:p>
      <w:pPr>
        <w:keepNext/>
        <w:spacing w:after="80" w:before="160"/>
        <w:jc w:val="left"/>
      </w:pPr>
      <w:r>
        <w:rPr>
          <w:b/>
          <w:bCs/>
          <w:color w:val="1E2761"/>
          <w:sz w:val="20"/>
          <w:szCs w:val="20"/>
        </w:rPr>
        <w:t xml:space="preserve">Tabla II-12. </w:t>
      </w:r>
      <w:r>
        <w:rPr>
          <w:color w:val="1E2761"/>
          <w:sz w:val="20"/>
          <w:szCs w:val="20"/>
        </w:rPr>
        <w:t xml:space="preserve">Problemas encontrados al integrar ABIDES-Gym y su solución.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26"/>
      </w:tblGrid>
      <w:tr>
        <w:trPr>
          <w:cantSplit/>
          <w:tblHeader/>
        </w:trPr>
        <w:tc>
          <w:tcPr>
            <w:tcW w:type="dxa" w:w="21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Problema</w:t>
            </w:r>
          </w:p>
        </w:tc>
        <w:tc>
          <w:tcPr>
            <w:tcW w:type="dxa" w:w="3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Causa</w:t>
            </w:r>
          </w:p>
        </w:tc>
        <w:tc>
          <w:tcPr>
            <w:tcW w:type="dxa" w:w="34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Solución</w:t>
            </w:r>
          </w:p>
        </w:tc>
      </w:tr>
      <w:tr>
        <w:trPr>
          <w:cantSplit/>
        </w:trPr>
        <w:tc>
          <w:tcPr>
            <w:tcW w:type="dxa" w:w="2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Conflicto de versiones al instalar</w:t>
            </w:r>
          </w:p>
        </w:tc>
        <w:tc>
          <w:tcPr>
            <w:tcW w:type="dxa" w:w="3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ABIDES-Gym exige Python 3.9, gym 0.18.0 y numpy 1.22.0; instalaciones por separado hacían que ray y otras librerías actualizaran numpy y gym sin aviso.</w:t>
            </w:r>
          </w:p>
        </w:tc>
        <w:tc>
          <w:tcPr>
            <w:tcW w:type="dxa" w:w="3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Un único comando de instalación con todas las versiones fijadas, ray[tune] en lugar de ray[rllib] y un entorno Python 3.9 aislado (condacolab) en Google Colab.</w:t>
            </w:r>
          </w:p>
        </w:tc>
      </w:tr>
      <w:tr>
        <w:trPr>
          <w:cantSplit/>
        </w:trPr>
        <w:tc>
          <w:tcPr>
            <w:tcW w:type="dxa" w:w="2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Error en la forma del estado crudo</w:t>
            </w:r>
          </w:p>
        </w:tc>
        <w:tc>
          <w:tcPr>
            <w:tcW w:type="dxa" w:w="3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Los decoradores de preprocesamiento del entorno padre no se aplicaban a los métodos redefinidos en la subclase.</w:t>
            </w:r>
          </w:p>
        </w:tc>
        <w:tc>
          <w:tcPr>
            <w:tcW w:type="dxa" w:w="3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Volver a declarar los decoradores como atributos de la subclase y aplicarlos a cada método redefinido.</w:t>
            </w:r>
          </w:p>
        </w:tc>
      </w:tr>
      <w:tr>
        <w:trPr>
          <w:cantSplit/>
        </w:trPr>
        <w:tc>
          <w:tcPr>
            <w:tcW w:type="dxa" w:w="2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Falla de validación interna</w:t>
            </w:r>
          </w:p>
        </w:tc>
        <w:tc>
          <w:tcPr>
            <w:tcW w:type="dxa" w:w="3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ABIDES reformatea el estado como matriz de 27 × 1 y el espacio de observación declaraba 27.</w:t>
            </w:r>
          </w:p>
        </w:tc>
        <w:tc>
          <w:tcPr>
            <w:tcW w:type="dxa" w:w="3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Declarar el espacio con forma (27, 1).</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FF3D1" w:color="auto" w:val="clear"/>
            <w:tcMar>
              <w:top w:type="dxa" w:w="100"/>
              <w:left w:type="dxa" w:w="160"/>
              <w:bottom w:type="dxa" w:w="100"/>
              <w:right w:type="dxa" w:w="160"/>
            </w:tcMar>
          </w:tcPr>
          <w:p>
            <w:pPr>
              <w:spacing w:after="60"/>
            </w:pPr>
            <w:r>
              <w:rPr>
                <w:b/>
                <w:bCs/>
                <w:color w:val="1E2761"/>
                <w:sz w:val="22"/>
                <w:szCs w:val="22"/>
              </w:rPr>
              <w:t xml:space="preserve">Pendiente de verificar</w:t>
            </w:r>
          </w:p>
          <w:p>
            <w:pPr>
              <w:keepNext/>
              <w:spacing w:after="60" w:line="264"/>
              <w:jc w:val="both"/>
            </w:pPr>
            <w:r>
              <w:rPr>
                <w:sz w:val="21"/>
                <w:szCs w:val="21"/>
              </w:rPr>
              <w:t xml:space="preserve">Que el libro de la configuración </w:t>
            </w:r>
            <w:r>
              <w:rPr>
                <w:rFonts w:ascii="Courier New" w:cs="Courier New" w:eastAsia="Courier New" w:hAnsi="Courier New"/>
                <w:sz w:val="19"/>
                <w:szCs w:val="19"/>
              </w:rPr>
              <w:t xml:space="preserve">rmsc04</w:t>
            </w:r>
            <w:r>
              <w:rPr>
                <w:sz w:val="21"/>
                <w:szCs w:val="21"/>
              </w:rPr>
              <w:t xml:space="preserve"> entregue al menos 5 niveles reales por lado (si trae menos, el vector se rellena con ceros) y la disponibilidad del método de semilla del entorno. Además, ABIDES-Gym es un repositorio archivado desde junio de 2025, sin soporte activo.</w:t>
            </w:r>
          </w:p>
        </w:tc>
      </w:tr>
    </w:tbl>
    <w:p>
      <w:pPr>
        <w:pStyle w:val="Heading2"/>
      </w:pPr>
      <w:r>
        <w:t xml:space="preserve">5.5 Orquestador Maestro–Ejecutor</w:t>
      </w:r>
    </w:p>
    <w:p>
      <w:pPr>
        <w:keepNext w:val="false"/>
        <w:spacing w:after="120" w:before="0" w:line="276"/>
        <w:jc w:val="both"/>
      </w:pPr>
      <w:r>
        <w:t xml:space="preserve">La clase </w:t>
      </w:r>
      <w:r>
        <w:rPr>
          <w:rFonts w:ascii="Courier New" w:cs="Courier New" w:eastAsia="Courier New" w:hAnsi="Courier New"/>
          <w:sz w:val="20"/>
          <w:szCs w:val="20"/>
        </w:rPr>
        <w:t xml:space="preserve">MaestroEjecutorEnv</w:t>
      </w:r>
      <w:r>
        <w:t xml:space="preserve"> implementa el ciclo descrito en la sección 4.1 con la interfaz estándar </w:t>
      </w:r>
      <w:r>
        <w:rPr>
          <w:rFonts w:ascii="Courier New" w:cs="Courier New" w:eastAsia="Courier New" w:hAnsi="Courier New"/>
          <w:sz w:val="20"/>
          <w:szCs w:val="20"/>
        </w:rPr>
        <w:t xml:space="preserve">reset</w:t>
      </w:r>
      <w:r>
        <w:t xml:space="preserve">, </w:t>
      </w:r>
      <w:r>
        <w:rPr>
          <w:rFonts w:ascii="Courier New" w:cs="Courier New" w:eastAsia="Courier New" w:hAnsi="Courier New"/>
          <w:sz w:val="20"/>
          <w:szCs w:val="20"/>
        </w:rPr>
        <w:t xml:space="preserve">step</w:t>
      </w:r>
      <w:r>
        <w:t xml:space="preserve"> y </w:t>
      </w:r>
      <w:r>
        <w:rPr>
          <w:rFonts w:ascii="Courier New" w:cs="Courier New" w:eastAsia="Courier New" w:hAnsi="Courier New"/>
          <w:sz w:val="20"/>
          <w:szCs w:val="20"/>
        </w:rPr>
        <w:t xml:space="preserve">close</w:t>
      </w:r>
      <w:r>
        <w:t xml:space="preserve">. En cada paso construye el mensaje ASIGNAR, crea un entorno de Ejecutor nuevo para la ventana asignada, lo hace operar hasta completar la ventana y arma el REPORTE con la cantidad ejecutada, el precio promedio y el slippage parcial. Al final de la jornada calcula la recompensa terminal R_M del capítulo 3.</w:t>
      </w:r>
    </w:p>
    <w:p>
      <w:pPr>
        <w:keepNext w:val="false"/>
        <w:spacing w:after="120" w:before="0" w:line="276"/>
        <w:jc w:val="both"/>
      </w:pPr>
      <w:r>
        <w:t xml:space="preserve">El tipo de Ejecutor se inyecta como parámetro (</w:t>
      </w:r>
      <w:r>
        <w:rPr>
          <w:rFonts w:ascii="Courier New" w:cs="Courier New" w:eastAsia="Courier New" w:hAnsi="Courier New"/>
          <w:sz w:val="20"/>
          <w:szCs w:val="20"/>
        </w:rPr>
        <w:t xml:space="preserve">executor_env_factory</w:t>
      </w:r>
      <w:r>
        <w:t xml:space="preserve">): puede ser el adaptador de ABIDES-Gym o el simulador de Poisson, sin cambiar el orquestador. Las variables de volatilidad y volumen promedio de S_M se leen de las variables ya calculadas por el pipeline de datos. Una prueba de humo ejecuta un episodio completo contra el simulador de Poisson y verifica que el inventario ejecutado se actualiza y que la recompensa terminal es un número finito.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DDE6F7" w:color="auto" w:val="clear"/>
            <w:tcMar>
              <w:top w:type="dxa" w:w="100"/>
              <w:left w:type="dxa" w:w="160"/>
              <w:bottom w:type="dxa" w:w="100"/>
              <w:right w:type="dxa" w:w="160"/>
            </w:tcMar>
          </w:tcPr>
          <w:p>
            <w:pPr>
              <w:spacing w:after="60"/>
            </w:pPr>
            <w:r>
              <w:rPr>
                <w:b/>
                <w:bCs/>
                <w:color w:val="1E2761"/>
                <w:sz w:val="22"/>
                <w:szCs w:val="22"/>
              </w:rPr>
              <w:t xml:space="preserve">Estado al cierre del sprint 4</w:t>
            </w:r>
          </w:p>
          <w:p>
            <w:pPr>
              <w:keepNext/>
              <w:spacing w:after="60" w:line="264"/>
              <w:jc w:val="both"/>
            </w:pPr>
            <w:r>
              <w:rPr>
                <w:sz w:val="21"/>
                <w:szCs w:val="21"/>
              </w:rPr>
              <w:t xml:space="preserve">Las redes reales ya están conectadas al orquestador: la fábrica </w:t>
            </w:r>
            <w:r>
              <w:rPr>
                <w:rFonts w:ascii="Courier New" w:cs="Courier New" w:eastAsia="Courier New" w:hAnsi="Courier New"/>
                <w:sz w:val="19"/>
                <w:szCs w:val="19"/>
              </w:rPr>
              <w:t xml:space="preserve">make_hierarchy()</w:t>
            </w:r>
            <w:r>
              <w:rPr>
                <w:sz w:val="21"/>
                <w:szCs w:val="21"/>
              </w:rPr>
              <w:t xml:space="preserve"> crea el Maestro y los tres Ejecutores, y </w:t>
            </w:r>
            <w:r>
              <w:rPr>
                <w:rFonts w:ascii="Courier New" w:cs="Courier New" w:eastAsia="Courier New" w:hAnsi="Courier New"/>
                <w:sz w:val="19"/>
                <w:szCs w:val="19"/>
              </w:rPr>
              <w:t xml:space="preserve">make_executor_policy_fn()</w:t>
            </w:r>
            <w:r>
              <w:rPr>
                <w:sz w:val="21"/>
                <w:szCs w:val="21"/>
              </w:rPr>
              <w:t xml:space="preserve"> entrega a cada tramo su propia red (corrección que agregó la revisión de BF el 18 de octubre, porque sin ella el orquestador usaba una sola red para los tres tramos). Con esto, </w:t>
            </w:r>
            <w:r>
              <w:rPr>
                <w:rFonts w:ascii="Courier New" w:cs="Courier New" w:eastAsia="Courier New" w:hAnsi="Courier New"/>
                <w:sz w:val="19"/>
                <w:szCs w:val="19"/>
              </w:rPr>
              <w:t xml:space="preserve">maestro_policy</w:t>
            </w:r>
            <w:r>
              <w:rPr>
                <w:sz w:val="21"/>
                <w:szCs w:val="21"/>
              </w:rPr>
              <w:t xml:space="preserve"> y </w:t>
            </w:r>
            <w:r>
              <w:rPr>
                <w:rFonts w:ascii="Courier New" w:cs="Courier New" w:eastAsia="Courier New" w:hAnsi="Courier New"/>
                <w:sz w:val="19"/>
                <w:szCs w:val="19"/>
              </w:rPr>
              <w:t xml:space="preserve">executor_policy</w:t>
            </w:r>
            <w:r>
              <w:rPr>
                <w:sz w:val="21"/>
                <w:szCs w:val="21"/>
              </w:rPr>
              <w:t xml:space="preserve"> dejan de ser reemplazos aleatorios y pasan a ser las políticas aprendidas con PPO (PR #20). Lo que sigue pendiente es </w:t>
            </w:r>
            <w:r>
              <w:rPr>
                <w:b/>
                <w:bCs/>
                <w:sz w:val="21"/>
                <w:szCs w:val="21"/>
              </w:rPr>
              <w:t xml:space="preserve">entrenarlas</w:t>
            </w:r>
            <w:r>
              <w:rPr>
                <w:sz w:val="21"/>
                <w:szCs w:val="21"/>
              </w:rPr>
              <w:t xml:space="preserve"> de forma completa (sprints 5 y 6).</w:t>
            </w:r>
          </w:p>
        </w:tc>
      </w:tr>
    </w:tbl>
    <w:p>
      <w:pPr>
        <w:spacing w:after="100"/>
      </w:pPr>
    </w:p>
    <w:p>
      <w:pPr>
        <w:pStyle w:val="Heading2"/>
      </w:pPr>
      <w:r>
        <w:t xml:space="preserve">5.6 Métricas de ejecución y comparación estadística</w:t>
      </w:r>
    </w:p>
    <w:p>
      <w:pPr>
        <w:keepNext w:val="false"/>
        <w:spacing w:after="120" w:before="0" w:line="276"/>
        <w:jc w:val="both"/>
      </w:pPr>
      <w:r>
        <w:t xml:space="preserve">El módulo de métricas implementa la medida principal del proyecto, el Implementation Shortfall: IS_total = (P_ejecución_promedio − P_referencia) × Q_total, donde P_referencia es el precio medio al momento de la decisión (arrival price). Reproduce el ejemplo de la Parte I: una compra de 8.000 acciones con precio inicial de $5.800 y precio promedio cercano a $5.808 arroja un costo del orden de $64.000.</w:t>
      </w:r>
    </w:p>
    <w:p>
      <w:pPr>
        <w:keepNext/>
        <w:spacing w:after="80" w:before="160"/>
        <w:jc w:val="left"/>
      </w:pPr>
      <w:r>
        <w:rPr>
          <w:b/>
          <w:bCs/>
          <w:color w:val="1E2761"/>
          <w:sz w:val="20"/>
          <w:szCs w:val="20"/>
        </w:rPr>
        <w:t xml:space="preserve">Tabla II-13. </w:t>
      </w:r>
      <w:r>
        <w:rPr>
          <w:color w:val="1E2761"/>
          <w:sz w:val="20"/>
          <w:szCs w:val="20"/>
        </w:rPr>
        <w:t xml:space="preserve">Funciones de evaluación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Función</w:t>
            </w:r>
          </w:p>
        </w:tc>
        <w:tc>
          <w:tcPr>
            <w:tcW w:type="dxa" w:w="57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Para qué sirve</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implementation_shortfall, slippage_bps, pct_cumplimiento</w:t>
            </w:r>
          </w:p>
        </w:tc>
        <w:tc>
          <w:tcPr>
            <w:tcW w:type="dxa" w:w="57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Costo en pesos, costo relativo en puntos base y fracción de la meta-orden ejecutada.</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evaluate_episode</w:t>
            </w:r>
          </w:p>
        </w:tc>
        <w:tc>
          <w:tcPr>
            <w:tcW w:type="dxa" w:w="57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Las tres métricas anteriores de un episodio, en el formato del resumen de episodio.</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compare_strategies</w:t>
            </w:r>
          </w:p>
        </w:tc>
        <w:tc>
          <w:tcPr>
            <w:tcW w:type="dxa" w:w="57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Compara dos muestras independientes: elige entre t-test de Welch y Mann–Whitney según la prueba de normalidad de Shapiro–Wilk.</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compare_paired</w:t>
            </w:r>
          </w:p>
        </w:tc>
        <w:tc>
          <w:tcPr>
            <w:tcW w:type="dxa" w:w="57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Compara dos estrategias sobre las mismas corridas con la prueba de Wilcoxon de rangos con signo y el tamaño de efecto d de Cohen pareado.</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compare_groups_kruskal</w:t>
            </w:r>
          </w:p>
        </w:tc>
        <w:tc>
          <w:tcPr>
            <w:tcW w:type="dxa" w:w="57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Compara tres o más estrategias con Kruskal–Wallis y, si resulta significativo, pruebas por pares (Mann–Whitney) con corrección de Bonferroni.</w:t>
            </w:r>
          </w:p>
        </w:tc>
      </w:tr>
    </w:tbl>
    <w:p>
      <w:pPr>
        <w:spacing w:after="100"/>
      </w:pPr>
    </w:p>
    <w:p>
      <w:pPr>
        <w:pStyle w:val="Heading2"/>
      </w:pPr>
      <w:r>
        <w:t xml:space="preserve">5.7 Algoritmo PPO (tarea 2.2.1)</w:t>
      </w:r>
    </w:p>
    <w:p>
      <w:pPr>
        <w:keepNext w:val="false"/>
        <w:spacing w:after="120" w:before="0" w:line="276"/>
        <w:jc w:val="both"/>
      </w:pPr>
      <w:r>
        <w:t xml:space="preserve">El PPO (Schulman et al., 2017) se implementó en PyTorch para ambos niveles de la jerarquía (responsable: Mauricio Reynoso, PR #20). La actualización de la política maximiza el objetivo recortado L_CLIP, que limita cuánto puede cambiar la política en cada paso, junto con la pérdida del crítico (error cuadrático medio del valor) y una bonificación de entropía que mantiene la exploración. Las ventajas se calculan con GAE (estimación generalizada de ventaja) con un buffer de experiencias que respeta los límites entre episodios.</w:t>
      </w:r>
    </w:p>
    <w:p>
      <w:pPr>
        <w:pStyle w:val="ListParagraph"/>
        <w:numPr>
          <w:ilvl w:val="0"/>
          <w:numId w:val="2"/>
        </w:numPr>
        <w:spacing w:after="60" w:line="276"/>
        <w:jc w:val="both"/>
      </w:pPr>
      <w:r>
        <w:rPr>
          <w:b/>
          <w:bCs/>
        </w:rPr>
        <w:t xml:space="preserve">Recolección:</w:t>
      </w:r>
      <w:r>
        <w:t xml:space="preserve"> el agente juega episodios completos y guarda estado, acción, log-probabilidad, recompensa y valor en un buffer.</w:t>
      </w:r>
    </w:p>
    <w:p>
      <w:pPr>
        <w:pStyle w:val="ListParagraph"/>
        <w:numPr>
          <w:ilvl w:val="0"/>
          <w:numId w:val="2"/>
        </w:numPr>
        <w:spacing w:after="60" w:line="276"/>
        <w:jc w:val="both"/>
      </w:pPr>
      <w:r>
        <w:rPr>
          <w:b/>
          <w:bCs/>
        </w:rPr>
        <w:t xml:space="preserve">Ventajas:</w:t>
      </w:r>
      <w:r>
        <w:t xml:space="preserve"> GAE con γ y λ configurables (γ = 0,95 en los Ejecutores y 0,99 en el Maestro).</w:t>
      </w:r>
    </w:p>
    <w:p>
      <w:pPr>
        <w:pStyle w:val="ListParagraph"/>
        <w:numPr>
          <w:ilvl w:val="0"/>
          <w:numId w:val="2"/>
        </w:numPr>
        <w:spacing w:after="60" w:line="276"/>
        <w:jc w:val="both"/>
      </w:pPr>
      <w:r>
        <w:rPr>
          <w:b/>
          <w:bCs/>
        </w:rPr>
        <w:t xml:space="preserve">Optimización:</w:t>
      </w:r>
      <w:r>
        <w:t xml:space="preserve"> varias épocas sobre minibatches, con recorte del gradiente y registro de la divergencia KL y de la fracción de actualizaciones recortadas.</w:t>
      </w:r>
    </w:p>
    <w:p>
      <w:pPr>
        <w:pStyle w:val="ListParagraph"/>
        <w:numPr>
          <w:ilvl w:val="0"/>
          <w:numId w:val="2"/>
        </w:numPr>
        <w:spacing w:after="60" w:line="276"/>
        <w:jc w:val="both"/>
      </w:pPr>
      <w:r>
        <w:rPr>
          <w:b/>
          <w:bCs/>
        </w:rPr>
        <w:t xml:space="preserve">Registro:</w:t>
      </w:r>
      <w:r>
        <w:t xml:space="preserve"> cada actualización deja pérdidas del actor y del crítico, entropía, retorno medio, KL y fracción recortada en un CSV, y se guardan puntos de control periódicos.</w:t>
      </w:r>
    </w:p>
    <w:p>
      <w:pPr>
        <w:keepNext w:val="false"/>
        <w:spacing w:after="120" w:before="0" w:line="276"/>
        <w:jc w:val="both"/>
      </w:pPr>
      <w:r>
        <w:t xml:space="preserve">Dos ajustes de Paolo Sepúlveda sobre esa implementación facilitaron su uso: </w:t>
      </w:r>
      <w:r>
        <w:rPr>
          <w:rFonts w:ascii="Courier New" w:cs="Courier New" w:eastAsia="Courier New" w:hAnsi="Courier New"/>
          <w:sz w:val="20"/>
          <w:szCs w:val="20"/>
        </w:rPr>
        <w:t xml:space="preserve">torch</w:t>
      </w:r>
      <w:r>
        <w:t xml:space="preserve"> se importa solo cuando se usa (para que los módulos de análisis y las pruebas que no entrenan no dependan de él) y las semillas quedan fijadas para que una corrida sea reproducible. Un corredor de prueba corta (</w:t>
      </w:r>
      <w:r>
        <w:rPr>
          <w:rFonts w:ascii="Courier New" w:cs="Courier New" w:eastAsia="Courier New" w:hAnsi="Courier New"/>
          <w:sz w:val="20"/>
          <w:szCs w:val="20"/>
        </w:rPr>
        <w:t xml:space="preserve">experiments/test_ppo_short_run.py</w:t>
      </w:r>
      <w:r>
        <w:t xml:space="preserve">) verifica que el ciclo completo corre y registra métricas.</w:t>
      </w:r>
    </w:p>
    <w:p>
      <w:pPr>
        <w:keepNext/>
        <w:spacing w:after="80" w:before="160"/>
        <w:jc w:val="left"/>
      </w:pPr>
      <w:r>
        <w:rPr>
          <w:b/>
          <w:bCs/>
          <w:color w:val="1E2761"/>
          <w:sz w:val="20"/>
          <w:szCs w:val="20"/>
        </w:rPr>
        <w:t xml:space="preserve">Tabla II-14. </w:t>
      </w:r>
      <w:r>
        <w:rPr>
          <w:color w:val="1E2761"/>
          <w:sz w:val="20"/>
          <w:szCs w:val="20"/>
        </w:rPr>
        <w:t xml:space="preserve">Hiperparámetros usados en las corridas de PPO del sprint 4 (fase 2 de la elección de 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00"/>
        <w:gridCol w:w="1826"/>
      </w:tblGrid>
      <w:tr>
        <w:trPr>
          <w:cantSplit/>
          <w:tblHeader/>
        </w:trPr>
        <w:tc>
          <w:tcPr>
            <w:tcW w:type="dxa" w:w="2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Parámetro</w:t>
            </w:r>
          </w:p>
        </w:tc>
        <w:tc>
          <w:tcPr>
            <w:tcW w:type="dxa" w:w="2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Valor</w:t>
            </w:r>
          </w:p>
        </w:tc>
        <w:tc>
          <w:tcPr>
            <w:tcW w:type="dxa" w:w="2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Parámetro</w:t>
            </w:r>
          </w:p>
        </w:tc>
        <w:tc>
          <w:tcPr>
            <w:tcW w:type="dxa" w:w="18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Valor</w:t>
            </w:r>
          </w:p>
        </w:tc>
      </w:tr>
      <w:tr>
        <w:trPr>
          <w:cantSplit/>
        </w:trPr>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Tasa de aprendizaje</w:t>
            </w: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3 × 10⁻⁴</w:t>
            </w:r>
          </w:p>
        </w:tc>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Épocas por actualización</w:t>
            </w:r>
          </w:p>
        </w:tc>
        <w:tc>
          <w:tcPr>
            <w:tcW w:type="dxa" w:w="1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4</w:t>
            </w:r>
          </w:p>
        </w:tc>
      </w:tr>
      <w:tr>
        <w:trPr>
          <w:cantSplit/>
        </w:trPr>
        <w:tc>
          <w:tcPr>
            <w:tcW w:type="dxa" w:w="2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γ (Ejecutores)</w:t>
            </w:r>
          </w:p>
        </w:tc>
        <w:tc>
          <w:tcPr>
            <w:tcW w:type="dxa" w:w="2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0,95</w:t>
            </w:r>
          </w:p>
        </w:tc>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Tamaño de minibatch</w:t>
            </w:r>
          </w:p>
        </w:tc>
        <w:tc>
          <w:tcPr>
            <w:tcW w:type="dxa" w:w="18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64</w:t>
            </w:r>
          </w:p>
        </w:tc>
      </w:tr>
      <w:tr>
        <w:trPr>
          <w:cantSplit/>
        </w:trPr>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λ de GAE</w:t>
            </w: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0,95</w:t>
            </w:r>
          </w:p>
        </w:tc>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Episodios por actualización</w:t>
            </w:r>
          </w:p>
        </w:tc>
        <w:tc>
          <w:tcPr>
            <w:tcW w:type="dxa" w:w="1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10</w:t>
            </w:r>
          </w:p>
        </w:tc>
      </w:tr>
      <w:tr>
        <w:trPr>
          <w:cantSplit/>
        </w:trPr>
        <w:tc>
          <w:tcPr>
            <w:tcW w:type="dxa" w:w="2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Clip ε</w:t>
            </w:r>
          </w:p>
        </w:tc>
        <w:tc>
          <w:tcPr>
            <w:tcW w:type="dxa" w:w="2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0,2</w:t>
            </w:r>
          </w:p>
        </w:tc>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Coef. de entropía</w:t>
            </w:r>
          </w:p>
        </w:tc>
        <w:tc>
          <w:tcPr>
            <w:tcW w:type="dxa" w:w="18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0,01</w:t>
            </w:r>
          </w:p>
        </w:tc>
      </w:tr>
      <w:tr>
        <w:trPr>
          <w:cantSplit/>
        </w:trPr>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Coef. del crítico</w:t>
            </w: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0,5</w:t>
            </w:r>
          </w:p>
        </w:tc>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Norma máxima del gradiente</w:t>
            </w:r>
          </w:p>
        </w:tc>
        <w:tc>
          <w:tcPr>
            <w:tcW w:type="dxa" w:w="1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0,5</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DDE6F7" w:color="auto" w:val="clear"/>
            <w:tcMar>
              <w:top w:type="dxa" w:w="100"/>
              <w:left w:type="dxa" w:w="160"/>
              <w:bottom w:type="dxa" w:w="100"/>
              <w:right w:type="dxa" w:w="160"/>
            </w:tcMar>
          </w:tcPr>
          <w:p>
            <w:pPr>
              <w:spacing w:after="60"/>
            </w:pPr>
            <w:r>
              <w:rPr>
                <w:b/>
                <w:bCs/>
                <w:color w:val="1E2761"/>
                <w:sz w:val="22"/>
                <w:szCs w:val="22"/>
              </w:rPr>
              <w:t xml:space="preserve">Alcance</w:t>
            </w:r>
          </w:p>
          <w:p>
            <w:pPr>
              <w:keepNext/>
              <w:spacing w:after="60" w:line="264"/>
              <w:jc w:val="both"/>
            </w:pPr>
            <w:r>
              <w:rPr>
                <w:sz w:val="21"/>
                <w:szCs w:val="21"/>
              </w:rPr>
              <w:t xml:space="preserve">El sprint 4 pedía </w:t>
            </w:r>
            <w:r>
              <w:rPr>
                <w:b/>
                <w:bCs/>
                <w:sz w:val="21"/>
                <w:szCs w:val="21"/>
              </w:rPr>
              <w:t xml:space="preserve">implementar</w:t>
            </w:r>
            <w:r>
              <w:rPr>
                <w:sz w:val="21"/>
                <w:szCs w:val="21"/>
              </w:rPr>
              <w:t xml:space="preserve"> el PPO (2.2.1), no entrenar el sistema completo. El ajuste de hiperparámetros corresponde al sprint 6 (tareas 3.1.x). Los valores de la tabla son iniciales y se usaron para entrenar un Ejecutor durante la elección de β (sección 5.9).</w:t>
            </w:r>
          </w:p>
        </w:tc>
      </w:tr>
    </w:tbl>
    <w:p>
      <w:pPr>
        <w:pStyle w:val="Heading2"/>
      </w:pPr>
      <w:r>
        <w:t xml:space="preserve">5.8 Calibración de rmsc04 con datos del IPSA (tarea 2.2.4)</w:t>
      </w:r>
    </w:p>
    <w:p>
      <w:pPr>
        <w:keepNext w:val="false"/>
        <w:spacing w:after="120" w:before="0" w:line="276"/>
        <w:jc w:val="both"/>
      </w:pPr>
      <w:r>
        <w:rPr>
          <w:rFonts w:ascii="Courier New" w:cs="Courier New" w:eastAsia="Courier New" w:hAnsi="Courier New"/>
          <w:sz w:val="20"/>
          <w:szCs w:val="20"/>
        </w:rPr>
        <w:t xml:space="preserve">rmsc04</w:t>
      </w:r>
      <w:r>
        <w:t xml:space="preserve"> es la configuración de referencia de ABIDES-Gym: un mercado de fondo con 1.000 agentes de ruido, 102 de valor, 12 de momentum y 2 creadores de mercado, cuyos parámetros por defecto describen una acción genérica de 1.000 dólares. La tarea 2.2.4 (responsable: Benjamín Farias; plantilla inicial de Paolo Sepúlveda) ajusta esos parámetros para que el mercado simulado </w:t>
      </w:r>
      <w:r>
        <w:rPr>
          <w:b/>
          <w:bCs/>
        </w:rPr>
        <w:t xml:space="preserve">aproxime</w:t>
      </w:r>
      <w:r>
        <w:t xml:space="preserve">, con datos reales de FALABELLA (snapshot del 23 de agosto de 2026), los objetivos que dejó la calibración de Poisson: volatilidad de 5 minutos, volumen por vela y participación de cada tramo en el volumen del día.</w:t>
      </w:r>
    </w:p>
    <w:p>
      <w:pPr>
        <w:keepNext/>
        <w:spacing w:after="80" w:before="160"/>
        <w:jc w:val="left"/>
      </w:pPr>
      <w:r>
        <w:rPr>
          <w:b/>
          <w:bCs/>
          <w:color w:val="1E2761"/>
          <w:sz w:val="20"/>
          <w:szCs w:val="20"/>
        </w:rPr>
        <w:t xml:space="preserve">Tabla II-15. </w:t>
      </w:r>
      <w:r>
        <w:rPr>
          <w:color w:val="1E2761"/>
          <w:sz w:val="20"/>
          <w:szCs w:val="20"/>
        </w:rPr>
        <w:t xml:space="preserve">Origen de los parámetros de rmsc04 calibrados.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Parámetro</w:t>
            </w:r>
          </w:p>
        </w:tc>
        <w:tc>
          <w:tcPr>
            <w:tcW w:type="dxa" w:w="60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Valor y fuente</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rFonts w:ascii="Courier New" w:cs="Courier New" w:eastAsia="Courier New" w:hAnsi="Courier New"/>
                <w:sz w:val="16"/>
                <w:szCs w:val="16"/>
              </w:rPr>
              <w:t xml:space="preserve">r_bar</w:t>
            </w:r>
            <w:r>
              <w:rPr>
                <w:sz w:val="18"/>
                <w:szCs w:val="18"/>
              </w:rPr>
              <w:t xml:space="preserve"> (nivel de precio)</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Mediana de los precios de cierre del snapshot (5.969,75 pesos), expresada en décimos de peso para que el tick del simulador (1 unidad) coincida con el incremento mínimo observado (0,1 pesos).</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rFonts w:ascii="Courier New" w:cs="Courier New" w:eastAsia="Courier New" w:hAnsi="Courier New"/>
                <w:sz w:val="16"/>
                <w:szCs w:val="16"/>
              </w:rPr>
              <w:t xml:space="preserve">fund_vol</w:t>
            </w:r>
            <w:r>
              <w:rPr>
                <w:sz w:val="18"/>
                <w:szCs w:val="18"/>
              </w:rPr>
              <w:t xml:space="preserve"> (volatilidad del valor fundamental)</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Derivada por tramo del desvío de los retornos de 5 minutos (3,70e-4, 2,43e-4 y 2,27e-4 en apertura, media jornada y cierre). Corrige un error de unidades de la configuración inicial: el oráculo mide el tiempo en nanosegundos.</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rFonts w:ascii="Courier New" w:cs="Courier New" w:eastAsia="Courier New" w:hAnsi="Courier New"/>
                <w:sz w:val="16"/>
                <w:szCs w:val="16"/>
              </w:rPr>
              <w:t xml:space="preserve">kappa_oracle</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Valor por defecto. Un test de razón de varianzas mostró reversión en los retornos de 5 minutos, pero con la forma del rebote entre precios de compra y venta y no la de un fundamental que revierte.</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rFonts w:ascii="Courier New" w:cs="Courier New" w:eastAsia="Courier New" w:hAnsi="Courier New"/>
                <w:sz w:val="16"/>
                <w:szCs w:val="16"/>
              </w:rPr>
              <w:t xml:space="preserve">megashock_*</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Valor por defecto: no actúan dentro de una jornada.</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rFonts w:ascii="Courier New" w:cs="Courier New" w:eastAsia="Courier New" w:hAnsi="Courier New"/>
                <w:sz w:val="16"/>
                <w:szCs w:val="16"/>
              </w:rPr>
              <w:t xml:space="preserve">mm_pov</w:t>
            </w:r>
            <w:r>
              <w:rPr>
                <w:sz w:val="18"/>
                <w:szCs w:val="18"/>
              </w:rPr>
              <w:t xml:space="preserve">, </w:t>
            </w:r>
            <w:r>
              <w:rPr>
                <w:rFonts w:ascii="Courier New" w:cs="Courier New" w:eastAsia="Courier New" w:hAnsi="Courier New"/>
                <w:sz w:val="16"/>
                <w:szCs w:val="16"/>
              </w:rPr>
              <w:t xml:space="preserve">mm_window_size</w:t>
            </w:r>
            <w:r>
              <w:rPr>
                <w:sz w:val="18"/>
                <w:szCs w:val="18"/>
              </w:rPr>
              <w:t xml:space="preserve">, </w:t>
            </w:r>
            <w:r>
              <w:rPr>
                <w:rFonts w:ascii="Courier New" w:cs="Courier New" w:eastAsia="Courier New" w:hAnsi="Courier New"/>
                <w:sz w:val="16"/>
                <w:szCs w:val="16"/>
              </w:rPr>
              <w:t xml:space="preserve">mm_level_spacing</w:t>
            </w:r>
            <w:r>
              <w:rPr>
                <w:sz w:val="18"/>
                <w:szCs w:val="18"/>
              </w:rPr>
              <w:t xml:space="preserve">, </w:t>
            </w:r>
            <w:r>
              <w:rPr>
                <w:rFonts w:ascii="Courier New" w:cs="Courier New" w:eastAsia="Courier New" w:hAnsi="Courier New"/>
                <w:sz w:val="16"/>
                <w:szCs w:val="16"/>
              </w:rPr>
              <w:t xml:space="preserve">num_noise_agents</w:t>
            </w:r>
            <w:r>
              <w:rPr>
                <w:sz w:val="18"/>
                <w:szCs w:val="18"/>
              </w:rPr>
              <w:t xml:space="preserve">, </w:t>
            </w:r>
            <w:r>
              <w:rPr>
                <w:rFonts w:ascii="Courier New" w:cs="Courier New" w:eastAsia="Courier New" w:hAnsi="Courier New"/>
                <w:sz w:val="16"/>
                <w:szCs w:val="16"/>
              </w:rPr>
              <w:t xml:space="preserve">lambda_a</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Se buscan por simulación (método de momentos simulado), porque sin Nivel 2 no hay dato directo de la liquidez del creador de mercado ni de la actividad de los agentes.</w:t>
            </w:r>
          </w:p>
        </w:tc>
      </w:tr>
    </w:tbl>
    <w:p>
      <w:pPr>
        <w:spacing w:after="100"/>
      </w:pPr>
    </w:p>
    <w:p>
      <w:pPr>
        <w:keepNext w:val="false"/>
        <w:spacing w:after="120" w:before="0" w:line="276"/>
        <w:jc w:val="both"/>
      </w:pPr>
      <w:r>
        <w:rPr>
          <w:b/>
          <w:bCs/>
        </w:rPr>
        <w:t xml:space="preserve">Búsqueda.</w:t>
      </w:r>
      <w:r>
        <w:t xml:space="preserve"> Una grilla de 27 combinaciones con 3 semillas por tramo, un refinamiento local y una validación con </w:t>
      </w:r>
      <w:r>
        <w:rPr>
          <w:b/>
          <w:bCs/>
        </w:rPr>
        <w:t xml:space="preserve">30 semillas nuevas</w:t>
      </w:r>
      <w:r>
        <w:t xml:space="preserve"> por tramo (101 a 130). La regla de adopción y la función de pérdida se fijaron antes de ver los datos. La primera validación con 10 semillas no rechazaba ningún tramo, pero era falta de potencia estadística (el umbral D crítico valía 0,085 a 0,098 con 230 a 300 retornos); por eso se amplió a 30 semillas antes de dar el resultado por bueno.</w:t>
      </w:r>
    </w:p>
    <w:p>
      <w:pPr>
        <w:keepNext/>
        <w:spacing w:after="80" w:before="160"/>
        <w:jc w:val="left"/>
      </w:pPr>
      <w:r>
        <w:rPr>
          <w:b/>
          <w:bCs/>
          <w:color w:val="1E2761"/>
          <w:sz w:val="20"/>
          <w:szCs w:val="20"/>
        </w:rPr>
        <w:t xml:space="preserve">Tabla II-16. </w:t>
      </w:r>
      <w:r>
        <w:rPr>
          <w:color w:val="1E2761"/>
          <w:sz w:val="20"/>
          <w:szCs w:val="20"/>
        </w:rPr>
        <w:t xml:space="preserve">Prueba de Kolmogorov–Smirnov de los retornos de 5 minutos simulados frente a los reales (FALABELLA, 30 semillas por tramo).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1200"/>
        <w:gridCol w:w="1500"/>
        <w:gridCol w:w="1626"/>
      </w:tblGrid>
      <w:tr>
        <w:trPr>
          <w:cantSplit/>
          <w:tblHeader/>
        </w:trPr>
        <w:tc>
          <w:tcPr>
            <w:tcW w:type="dxa" w:w="2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Tramo</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n sim / n real</w:t>
            </w:r>
          </w:p>
        </w:tc>
        <w:tc>
          <w:tcPr>
            <w:tcW w:type="dxa" w:w="1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D</w:t>
            </w:r>
          </w:p>
        </w:tc>
        <w:tc>
          <w:tcPr>
            <w:tcW w:type="dxa" w:w="12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p</w:t>
            </w:r>
          </w:p>
        </w:tc>
        <w:tc>
          <w:tcPr>
            <w:tcW w:type="dxa" w:w="1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D / D crítico</w:t>
            </w:r>
          </w:p>
        </w:tc>
        <w:tc>
          <w:tcPr>
            <w:tcW w:type="dxa" w:w="16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Rechaza al 5 %</w:t>
            </w:r>
          </w:p>
        </w:tc>
      </w:tr>
      <w:tr>
        <w:trPr>
          <w:cantSplit/>
        </w:trPr>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Apertura</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690 / 1.111</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0,064</w:t>
            </w:r>
          </w:p>
        </w:tc>
        <w:tc>
          <w:tcPr>
            <w:tcW w:type="dxa" w:w="1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0,058</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0,97</w:t>
            </w:r>
          </w:p>
        </w:tc>
        <w:tc>
          <w:tcPr>
            <w:tcW w:type="dxa" w:w="1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No (al borde)</w:t>
            </w:r>
          </w:p>
        </w:tc>
      </w:tr>
      <w:tr>
        <w:trPr>
          <w:cantSplit/>
        </w:trPr>
        <w:tc>
          <w:tcPr>
            <w:tcW w:type="dxa" w:w="2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Media jornada</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900 / 1.690</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0,074</w:t>
            </w:r>
          </w:p>
        </w:tc>
        <w:tc>
          <w:tcPr>
            <w:tcW w:type="dxa" w:w="12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0,003</w:t>
            </w:r>
          </w:p>
        </w:tc>
        <w:tc>
          <w:tcPr>
            <w:tcW w:type="dxa" w:w="1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1,32</w:t>
            </w:r>
          </w:p>
        </w:tc>
        <w:tc>
          <w:tcPr>
            <w:tcW w:type="dxa" w:w="1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Sí</w:t>
            </w:r>
          </w:p>
        </w:tc>
      </w:tr>
      <w:tr>
        <w:trPr>
          <w:cantSplit/>
        </w:trPr>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Cierre</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690 / 1.252</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0,099</w:t>
            </w:r>
          </w:p>
        </w:tc>
        <w:tc>
          <w:tcPr>
            <w:tcW w:type="dxa" w:w="1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0,0003</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1,54</w:t>
            </w:r>
          </w:p>
        </w:tc>
        <w:tc>
          <w:tcPr>
            <w:tcW w:type="dxa" w:w="1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Sí</w:t>
            </w:r>
          </w:p>
        </w:tc>
      </w:tr>
    </w:tbl>
    <w:p>
      <w:pPr>
        <w:keepNext/>
        <w:spacing w:after="40" w:before="120"/>
        <w:jc w:val="center"/>
      </w:pPr>
      <w:r>
        <w:drawing>
          <wp:inline distT="0" distB="0" distL="0" distR="0">
            <wp:extent cx="4191000" cy="2295525"/>
            <wp:effectExtent t="0" r="0" b="0" l="0"/>
            <wp:docPr id="6" name="rmsc04_volatilidad.png" descr="Volatilidad de 5 minutos simulada y real de FALABELLA con la calibración (promedio de 30 semillas por tramo)." title="Volatilidad de 5 minutos simulada y real de FALABELLA con la calibración (promedio de 30 semillas por tr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295525"/>
                    </a:xfrm>
                    <a:prstGeom prst="rect">
                      <a:avLst/>
                    </a:prstGeom>
                  </pic:spPr>
                </pic:pic>
              </a:graphicData>
            </a:graphic>
          </wp:inline>
        </w:drawing>
      </w:r>
    </w:p>
    <w:p>
      <w:pPr>
        <w:spacing w:after="200" w:before="60"/>
        <w:jc w:val="center"/>
      </w:pPr>
      <w:r>
        <w:rPr>
          <w:b/>
          <w:bCs/>
          <w:color w:val="1E2761"/>
          <w:sz w:val="20"/>
          <w:szCs w:val="20"/>
        </w:rPr>
        <w:t xml:space="preserve">Figura II-5. </w:t>
      </w:r>
      <w:r>
        <w:rPr>
          <w:color w:val="1E2761"/>
          <w:sz w:val="20"/>
          <w:szCs w:val="20"/>
        </w:rPr>
        <w:t xml:space="preserve">Volatilidad de 5 minutos simulada y real de FALABELLA con la calibración (promedio de 30 semillas por tramo).</w:t>
      </w:r>
    </w:p>
    <w:p>
      <w:pPr>
        <w:keepNext w:val="false"/>
        <w:spacing w:after="120" w:before="0" w:line="276"/>
        <w:jc w:val="both"/>
      </w:pPr>
      <w:r>
        <w:t xml:space="preserve">La volatilidad quedó dentro de un 10 % del objetivo en los tres tramos. El KS rechaza en media jornada y cierre, de modo que la meta del plan (p mayor que 0,05) no se cumple en dos de tres tramos; aun así, la distancia máxima entre distribuciones (D de 0,06 a 0,10) es menor o igual que la del modelo de Poisson calibrado en la etapa anterior (D de 0,09 a 0,12), es decir, el simulador </w:t>
      </w:r>
      <w:r>
        <w:rPr>
          <w:b/>
          <w:bCs/>
        </w:rPr>
        <w:t xml:space="preserve">aproxima</w:t>
      </w:r>
      <w:r>
        <w:t xml:space="preserve"> la distribución de retornos pero no se puede afirmar que sea la misma.</w:t>
      </w:r>
    </w:p>
    <w:p>
      <w:pPr>
        <w:keepNext/>
        <w:spacing w:after="80" w:before="160"/>
        <w:jc w:val="left"/>
      </w:pPr>
      <w:r>
        <w:rPr>
          <w:b/>
          <w:bCs/>
          <w:color w:val="1E2761"/>
          <w:sz w:val="20"/>
          <w:szCs w:val="20"/>
        </w:rPr>
        <w:t xml:space="preserve">Tabla II-17. </w:t>
      </w:r>
      <w:r>
        <w:rPr>
          <w:color w:val="1E2761"/>
          <w:sz w:val="20"/>
          <w:szCs w:val="20"/>
        </w:rPr>
        <w:t xml:space="preserve">Momentos simulados frente al objetivo real (FALABELLA; apertura / media jornada / cierre).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cantSplit/>
          <w:tblHeader/>
        </w:trPr>
        <w:tc>
          <w:tcPr>
            <w:tcW w:type="dxa" w:w="26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Magnitud</w:t>
            </w:r>
          </w:p>
        </w:tc>
        <w:tc>
          <w:tcPr>
            <w:tcW w:type="dxa" w:w="3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Simulado / objetivo</w:t>
            </w:r>
          </w:p>
        </w:tc>
        <w:tc>
          <w:tcPr>
            <w:tcW w:type="dxa" w:w="25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Lectura</w:t>
            </w:r>
          </w:p>
        </w:tc>
      </w:tr>
      <w:tr>
        <w:trPr>
          <w:cantSplit/>
        </w:trPr>
        <w:tc>
          <w:tcPr>
            <w:tcW w:type="dxa" w:w="2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Volatilidad de 5 min (bps)</w:t>
            </w:r>
          </w:p>
        </w:tc>
        <w:tc>
          <w:tcPr>
            <w:tcW w:type="dxa" w:w="3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34,0 / 34,0 · 20,0 / 22,3 · 20,5 / 20,9</w:t>
            </w:r>
          </w:p>
        </w:tc>
        <w:tc>
          <w:tcPr>
            <w:tcW w:type="dxa" w:w="25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Dentro del 10 % en los tres tramos</w:t>
            </w:r>
          </w:p>
        </w:tc>
      </w:tr>
      <w:tr>
        <w:trPr>
          <w:cantSplit/>
        </w:trPr>
        <w:tc>
          <w:tcPr>
            <w:tcW w:type="dxa" w:w="2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Volumen mediano por vela</w:t>
            </w:r>
          </w:p>
        </w:tc>
        <w:tc>
          <w:tcPr>
            <w:tcW w:type="dxa" w:w="3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11.268 / 7.576 · 11.471 / 9.396 · 12.399 / 11.964</w:t>
            </w:r>
          </w:p>
        </w:tc>
        <w:tc>
          <w:tcPr>
            <w:tcW w:type="dxa" w:w="25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Sobre el real: +49 %, +22 % y +4 %</w:t>
            </w:r>
          </w:p>
        </w:tc>
      </w:tr>
      <w:tr>
        <w:trPr>
          <w:cantSplit/>
        </w:trPr>
        <w:tc>
          <w:tcPr>
            <w:tcW w:type="dxa" w:w="2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Spread mediano (bps)</w:t>
            </w:r>
          </w:p>
        </w:tc>
        <w:tc>
          <w:tcPr>
            <w:tcW w:type="dxa" w:w="3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0,23 · 0,17 · 0,17 frente a 4 a 35 en los proxies reales</w:t>
            </w:r>
          </w:p>
        </w:tc>
        <w:tc>
          <w:tcPr>
            <w:tcW w:type="dxa" w:w="25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Entre 20 y 100 veces menor: límite principal</w:t>
            </w:r>
          </w:p>
        </w:tc>
      </w:tr>
      <w:tr>
        <w:trPr>
          <w:cantSplit/>
        </w:trPr>
        <w:tc>
          <w:tcPr>
            <w:tcW w:type="dxa" w:w="2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Volatilidad máxima en la apertura</w:t>
            </w:r>
          </w:p>
        </w:tc>
        <w:tc>
          <w:tcPr>
            <w:tcW w:type="dxa" w:w="3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Se cumple (por construcción: </w:t>
            </w:r>
            <w:r>
              <w:rPr>
                <w:rFonts w:ascii="Courier New" w:cs="Courier New" w:eastAsia="Courier New" w:hAnsi="Courier New"/>
                <w:sz w:val="16"/>
                <w:szCs w:val="16"/>
              </w:rPr>
              <w:t xml:space="preserve">fund_vol</w:t>
            </w:r>
            <w:r>
              <w:rPr>
                <w:sz w:val="18"/>
                <w:szCs w:val="18"/>
              </w:rPr>
              <w:t xml:space="preserve"> por tramo)</w:t>
            </w:r>
          </w:p>
        </w:tc>
        <w:tc>
          <w:tcPr>
            <w:tcW w:type="dxa" w:w="25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El volumen creciente (+10 % frente a +58 % real) no se reproduce</w:t>
            </w:r>
          </w:p>
        </w:tc>
      </w:tr>
    </w:tbl>
    <w:p>
      <w:pPr>
        <w:spacing w:after="100"/>
      </w:pPr>
    </w:p>
    <w:p>
      <w:pPr>
        <w:keepNext w:val="false"/>
        <w:spacing w:after="120" w:before="0" w:line="276"/>
        <w:jc w:val="both"/>
      </w:pPr>
      <w:r>
        <w:rPr>
          <w:b/>
          <w:bCs/>
        </w:rPr>
        <w:t xml:space="preserve">Grilla de actividad hacia abajo (18 de octubre).</w:t>
      </w:r>
      <w:r>
        <w:t xml:space="preserve"> Como el volumen simulado quedaba por encima del real, se probó bajar la actividad (100 %, 75 %, 50 % y 25 % de los agentes de ruido y de su tasa de llegada). Con la regla fijada antes de ver los datos (volatilidad a ±15 % en los tres tramos y ningún tramo sobre 200 bps), </w:t>
      </w:r>
      <w:r>
        <w:rPr>
          <w:b/>
          <w:bCs/>
        </w:rPr>
        <w:t xml:space="preserve">ningún nivel se adopta</w:t>
      </w:r>
      <w:r>
        <w:t xml:space="preserve">: el de 75 % empata con el control al quitar el spread, el de 50 % triplica la volatilidad de la tarde y el de 25 % rompe el mercado. El volumen alto en la apertura queda como </w:t>
      </w:r>
      <w:r>
        <w:rPr>
          <w:b/>
          <w:bCs/>
        </w:rPr>
        <w:t xml:space="preserve">límite demostrado</w:t>
      </w:r>
      <w:r>
        <w:t xml:space="preserve">: en rmsc04 el flujo de los agentes de valor sostiene a la vez el volumen y la volatilidad.</w:t>
      </w:r>
    </w:p>
    <w:p>
      <w:pPr>
        <w:keepNext w:val="false"/>
        <w:spacing w:after="120" w:before="0" w:line="276"/>
        <w:jc w:val="both"/>
      </w:pPr>
      <w:r>
        <w:rPr>
          <w:b/>
          <w:bCs/>
        </w:rPr>
        <w:t xml:space="preserve">Megashocks.</w:t>
      </w:r>
      <w:r>
        <w:t xml:space="preserve"> Un sondeo adicional (Paolo Sepúlveda) probó hacer más frecuentes los saltos del valor fundamental para acercar las colas de los retornos. Con el valor por defecto casi no ocurren saltos; al aumentarlos, la curtosis simulada explota (17 a 175 frente a 3 a 6 reales) y la distancia del KS empeora. Ningún candidato cumple la regla de adopción y se conserva la configuración de Benjamín.</w:t>
      </w:r>
    </w:p>
    <w:p>
      <w:pPr>
        <w:pStyle w:val="Heading3"/>
      </w:pPr>
      <w:r>
        <w:t xml:space="preserve">Extensión a COPEC y ECL</w:t>
      </w:r>
    </w:p>
    <w:p>
      <w:pPr>
        <w:keepNext w:val="false"/>
        <w:spacing w:after="120" w:before="0" w:line="276"/>
        <w:jc w:val="both"/>
      </w:pPr>
      <w:r>
        <w:t xml:space="preserve">La calibración se replicó para COPEC y ECL (Paolo Sepúlveda, PR #36, 19 de octubre). La grilla de actividad baja dejaba 12 agentes de momentum por defecto, que con solo 250 agentes de ruido desestabilizaban el mercado: en ECL, 9, 13 y 13 de 30 corridas (por tramo) tenían movimientos de más de 10 % del precio en un tramo. Un diagnóstico de un cambio por vez mostró que el problema no era el creador de mercado ni el valor fundamental, sino el momentum: sin esos agentes, 0 de 5 corridas se desbocaban. Se fijaron </w:t>
      </w:r>
      <w:r>
        <w:rPr>
          <w:b/>
          <w:bCs/>
        </w:rPr>
        <w:t xml:space="preserve">3 agentes de momentum</w:t>
      </w:r>
      <w:r>
        <w:t xml:space="preserve"> (la misma proporción que FALABELLA: 12 con 1.000 de ruido), 500 agentes de ruido y un ajuste de </w:t>
      </w:r>
      <w:r>
        <w:rPr>
          <w:rFonts w:ascii="Courier New" w:cs="Courier New" w:eastAsia="Courier New" w:hAnsi="Courier New"/>
          <w:sz w:val="20"/>
          <w:szCs w:val="20"/>
        </w:rPr>
        <w:t xml:space="preserve">fund_vol</w:t>
      </w:r>
      <w:r>
        <w:t xml:space="preserve"> por tramo.</w:t>
      </w:r>
    </w:p>
    <w:p>
      <w:pPr>
        <w:keepNext/>
        <w:spacing w:after="80" w:before="160"/>
        <w:jc w:val="left"/>
      </w:pPr>
      <w:r>
        <w:rPr>
          <w:b/>
          <w:bCs/>
          <w:color w:val="1E2761"/>
          <w:sz w:val="20"/>
          <w:szCs w:val="20"/>
        </w:rPr>
        <w:t xml:space="preserve">Tabla II-18. </w:t>
      </w:r>
      <w:r>
        <w:rPr>
          <w:color w:val="1E2761"/>
          <w:sz w:val="20"/>
          <w:szCs w:val="20"/>
        </w:rPr>
        <w:t xml:space="preserve">Resultado de la calibración de COPEC y ECL (30 semillas por tramo; apertura / media jornada / cierre).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26"/>
      </w:tblGrid>
      <w:tr>
        <w:trPr>
          <w:cantSplit/>
          <w:tblHeader/>
        </w:trPr>
        <w:tc>
          <w:tcPr>
            <w:tcW w:type="dxa" w:w="3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p>
        </w:tc>
        <w:tc>
          <w:tcPr>
            <w:tcW w:type="dxa" w:w="2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COPEC</w:t>
            </w:r>
          </w:p>
        </w:tc>
        <w:tc>
          <w:tcPr>
            <w:tcW w:type="dxa" w:w="28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ECL</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Corridas desbocadas (30 semillas)</w:t>
            </w:r>
          </w:p>
        </w:tc>
        <w:tc>
          <w:tcPr>
            <w:tcW w:type="dxa" w:w="2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 / 0 / 0 (antes 0 / 7 / 7)</w:t>
            </w:r>
          </w:p>
        </w:tc>
        <w:tc>
          <w:tcPr>
            <w:tcW w:type="dxa" w:w="2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 / 0 / 0 (antes 9 / 13 / 13)</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Volatilidad simulada frente a real (bps)</w:t>
            </w:r>
          </w:p>
        </w:tc>
        <w:tc>
          <w:tcPr>
            <w:tcW w:type="dxa" w:w="2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32,1 / 19,8 / 24,6 frente a 31,8 / 21,4 / 24,8</w:t>
            </w:r>
          </w:p>
        </w:tc>
        <w:tc>
          <w:tcPr>
            <w:tcW w:type="dxa" w:w="28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41,0 / 34,5 / 34,9 frente a 41,8 / 35,2 / 36,2</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KS, D / D crítico</w:t>
            </w:r>
          </w:p>
        </w:tc>
        <w:tc>
          <w:tcPr>
            <w:tcW w:type="dxa" w:w="2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1,43 / 1,75 / 2,40</w:t>
            </w:r>
          </w:p>
        </w:tc>
        <w:tc>
          <w:tcPr>
            <w:tcW w:type="dxa" w:w="2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1,66 / 2,22 / 1,85</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Tamaño de efecto (g de Hedges)</w:t>
            </w:r>
          </w:p>
        </w:tc>
        <w:tc>
          <w:tcPr>
            <w:tcW w:type="dxa" w:w="2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0,18 / 0,11 / 0,27</w:t>
            </w:r>
          </w:p>
        </w:tc>
        <w:tc>
          <w:tcPr>
            <w:tcW w:type="dxa" w:w="28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0,28 / 0,20 / 0,22</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Volumen por vela frente al real</w:t>
            </w:r>
          </w:p>
        </w:tc>
        <w:tc>
          <w:tcPr>
            <w:tcW w:type="dxa" w:w="2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−15 % / −35 % / −45 %</w:t>
            </w:r>
          </w:p>
        </w:tc>
        <w:tc>
          <w:tcPr>
            <w:tcW w:type="dxa" w:w="2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−20 % / −39 % / −43 %</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Veredicto formal (criterio literal del plan)</w:t>
            </w:r>
          </w:p>
        </w:tc>
        <w:tc>
          <w:tcPr>
            <w:tcW w:type="dxa" w:w="290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NO VÁLIDO</w:t>
            </w:r>
          </w:p>
        </w:tc>
        <w:tc>
          <w:tcPr>
            <w:tcW w:type="dxa" w:w="28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NO VÁLIDO</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FF3D1" w:color="auto" w:val="clear"/>
            <w:tcMar>
              <w:top w:type="dxa" w:w="100"/>
              <w:left w:type="dxa" w:w="160"/>
              <w:bottom w:type="dxa" w:w="100"/>
              <w:right w:type="dxa" w:w="160"/>
            </w:tcMar>
          </w:tcPr>
          <w:p>
            <w:pPr>
              <w:spacing w:after="60"/>
            </w:pPr>
            <w:r>
              <w:rPr>
                <w:b/>
                <w:bCs/>
                <w:color w:val="1E2761"/>
                <w:sz w:val="22"/>
                <w:szCs w:val="22"/>
              </w:rPr>
              <w:t xml:space="preserve">Límites de la calibración (se declaran)</w:t>
            </w:r>
          </w:p>
          <w:p>
            <w:pPr>
              <w:keepNext/>
              <w:spacing w:after="60" w:line="264"/>
              <w:jc w:val="both"/>
            </w:pPr>
            <w:r>
              <w:rPr>
                <w:b/>
                <w:bCs/>
                <w:sz w:val="21"/>
                <w:szCs w:val="21"/>
              </w:rPr>
              <w:t xml:space="preserve">1.</w:t>
            </w:r>
            <w:r>
              <w:rPr>
                <w:sz w:val="21"/>
                <w:szCs w:val="21"/>
              </w:rPr>
              <w:t xml:space="preserve"> El spread simulado (de 1 a 2 ticks, entre 0,2 y 1,1 bps) es mucho menor que los proxies reales: el costo absoluto de ejecución queda subestimado, aunque la comparación </w:t>
            </w:r>
            <w:r>
              <w:rPr>
                <w:b/>
                <w:bCs/>
                <w:sz w:val="21"/>
                <w:szCs w:val="21"/>
              </w:rPr>
              <w:t xml:space="preserve">relativa</w:t>
            </w:r>
            <w:r>
              <w:rPr>
                <w:sz w:val="21"/>
                <w:szCs w:val="21"/>
              </w:rPr>
              <w:t xml:space="preserve"> entre estrategias sigue siendo informativa. </w:t>
            </w:r>
            <w:r>
              <w:rPr>
                <w:b/>
                <w:bCs/>
                <w:sz w:val="21"/>
                <w:szCs w:val="21"/>
              </w:rPr>
              <w:t xml:space="preserve">2.</w:t>
            </w:r>
            <w:r>
              <w:rPr>
                <w:sz w:val="21"/>
                <w:szCs w:val="21"/>
              </w:rPr>
              <w:t xml:space="preserve"> El KS rechaza en dos de tres tramos en FALABELLA y en los seis de COPEC y ECL. </w:t>
            </w:r>
            <w:r>
              <w:rPr>
                <w:b/>
                <w:bCs/>
                <w:sz w:val="21"/>
                <w:szCs w:val="21"/>
              </w:rPr>
              <w:t xml:space="preserve">3.</w:t>
            </w:r>
            <w:r>
              <w:rPr>
                <w:sz w:val="21"/>
                <w:szCs w:val="21"/>
              </w:rPr>
              <w:t xml:space="preserve"> El volumen alto en la apertura queda como límite demostrado. </w:t>
            </w:r>
            <w:r>
              <w:rPr>
                <w:b/>
                <w:bCs/>
                <w:sz w:val="21"/>
                <w:szCs w:val="21"/>
              </w:rPr>
              <w:t xml:space="preserve">4.</w:t>
            </w:r>
            <w:r>
              <w:rPr>
                <w:sz w:val="21"/>
                <w:szCs w:val="21"/>
              </w:rPr>
              <w:t xml:space="preserve"> </w:t>
            </w:r>
            <w:r>
              <w:rPr>
                <w:rFonts w:ascii="Courier New" w:cs="Courier New" w:eastAsia="Courier New" w:hAnsi="Courier New"/>
                <w:sz w:val="19"/>
                <w:szCs w:val="19"/>
              </w:rPr>
              <w:t xml:space="preserve">fund_vol</w:t>
            </w:r>
            <w:r>
              <w:rPr>
                <w:sz w:val="21"/>
                <w:szCs w:val="21"/>
              </w:rPr>
              <w:t xml:space="preserve"> es constante por tramo. </w:t>
            </w:r>
            <w:r>
              <w:rPr>
                <w:b/>
                <w:bCs/>
                <w:sz w:val="21"/>
                <w:szCs w:val="21"/>
              </w:rPr>
              <w:t xml:space="preserve">5.</w:t>
            </w:r>
            <w:r>
              <w:rPr>
                <w:sz w:val="21"/>
                <w:szCs w:val="21"/>
              </w:rPr>
              <w:t xml:space="preserve"> Un solo régimen de mercado (previo a la transición del IPSA a MSCI) y, en COPEC y ECL, el ajuste de </w:t>
            </w:r>
            <w:r>
              <w:rPr>
                <w:rFonts w:ascii="Courier New" w:cs="Courier New" w:eastAsia="Courier New" w:hAnsi="Courier New"/>
                <w:sz w:val="19"/>
                <w:szCs w:val="19"/>
              </w:rPr>
              <w:t xml:space="preserve">fund_vol</w:t>
            </w:r>
            <w:r>
              <w:rPr>
                <w:sz w:val="21"/>
                <w:szCs w:val="21"/>
              </w:rPr>
              <w:t xml:space="preserve"> se calculó con las mismas semillas con las que se validó, por lo que la cercanía de la volatilidad es en parte por construcción.</w:t>
            </w:r>
          </w:p>
        </w:tc>
      </w:tr>
    </w:tbl>
    <w:p>
      <w:pPr>
        <w:spacing w:after="100"/>
      </w:pPr>
    </w:p>
    <w:p>
      <w:pPr>
        <w:pStyle w:val="Heading2"/>
      </w:pPr>
      <w:r>
        <w:t xml:space="preserve">5.9 Funciones de recompensa calibradas (tareas 2.2.2 y 2.2.3)</w:t>
      </w:r>
    </w:p>
    <w:p>
      <w:pPr>
        <w:pStyle w:val="Heading3"/>
      </w:pPr>
      <w:r>
        <w:t xml:space="preserve">Recompensa del Maestro: calibración de λ (tarea 2.2.2)</w:t>
      </w:r>
    </w:p>
    <w:p>
      <w:pPr>
        <w:keepNext w:val="false"/>
        <w:spacing w:after="120" w:before="0" w:line="276"/>
        <w:jc w:val="both"/>
      </w:pPr>
      <w:r>
        <w:t xml:space="preserve">La recompensa terminal del Maestro es R_M = −IS_total − λ · max(0, Q_pendiente) · P_mid_cierre. El coeficiente λ penaliza el inventario que queda sin ejecutar al cierre. Mauricio Reynoso evaluó cinco valores (λ ∈ {0,01; 0,05; 0,10; 0,50; 1,00}) en 100 simulaciones de jornadas completas (13 decisiones), con cuatro tamaños de meta-orden (1.000 a 20.000 acciones) y 5 corridas por combinación, sobre el simulador de Poisson con los parámetros reales del IPSA.</w:t>
      </w:r>
    </w:p>
    <w:p>
      <w:pPr>
        <w:keepNext/>
        <w:spacing w:after="80" w:before="160"/>
        <w:jc w:val="left"/>
      </w:pPr>
      <w:r>
        <w:rPr>
          <w:b/>
          <w:bCs/>
          <w:color w:val="1E2761"/>
          <w:sz w:val="20"/>
          <w:szCs w:val="20"/>
        </w:rPr>
        <w:t xml:space="preserve">Tabla II-19. </w:t>
      </w:r>
      <w:r>
        <w:rPr>
          <w:color w:val="1E2761"/>
          <w:sz w:val="20"/>
          <w:szCs w:val="20"/>
        </w:rPr>
        <w:t xml:space="preserve">Calibración de λ del Maestro (promedio de las simulaciones por valor de 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800"/>
        <w:gridCol w:w="1500"/>
        <w:gridCol w:w="1426"/>
      </w:tblGrid>
      <w:tr>
        <w:trPr>
          <w:cantSplit/>
          <w:tblHeader/>
        </w:trPr>
        <w:tc>
          <w:tcPr>
            <w:tcW w:type="dxa" w:w="1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λ</w:t>
            </w:r>
          </w:p>
        </w:tc>
        <w:tc>
          <w:tcPr>
            <w:tcW w:type="dxa" w:w="1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Q pendiente (media)</w:t>
            </w:r>
          </w:p>
        </w:tc>
        <w:tc>
          <w:tcPr>
            <w:tcW w:type="dxa" w:w="1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IS medio (pesos)</w:t>
            </w:r>
          </w:p>
        </w:tc>
        <w:tc>
          <w:tcPr>
            <w:tcW w:type="dxa" w:w="18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Penalización media (pesos)</w:t>
            </w:r>
          </w:p>
        </w:tc>
        <w:tc>
          <w:tcPr>
            <w:tcW w:type="dxa" w:w="1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Desv. est. de R_M</w:t>
            </w:r>
          </w:p>
        </w:tc>
        <w:tc>
          <w:tcPr>
            <w:tcW w:type="dxa" w:w="14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Penalización / IS</w:t>
            </w:r>
          </w:p>
        </w:tc>
      </w:tr>
      <w:tr>
        <w:trPr>
          <w:cantSplit/>
        </w:trPr>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0,01</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370</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79.775</w:t>
            </w:r>
          </w:p>
        </w:tc>
        <w:tc>
          <w:tcPr>
            <w:tcW w:type="dxa" w:w="1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21.495</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85.914</w:t>
            </w:r>
          </w:p>
        </w:tc>
        <w:tc>
          <w:tcPr>
            <w:tcW w:type="dxa" w:w="1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0,23×</w:t>
            </w:r>
          </w:p>
        </w:tc>
      </w:tr>
      <w:tr>
        <w:trPr>
          <w:cantSplit/>
        </w:trPr>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b/>
                <w:bCs/>
                <w:sz w:val="18"/>
                <w:szCs w:val="18"/>
              </w:rPr>
              <w:t xml:space="preserve">0,05</w:t>
            </w:r>
          </w:p>
        </w:tc>
        <w:tc>
          <w:tcPr>
            <w:tcW w:type="dxa" w:w="1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349</w:t>
            </w:r>
          </w:p>
        </w:tc>
        <w:tc>
          <w:tcPr>
            <w:tcW w:type="dxa" w:w="1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79.317</w:t>
            </w:r>
          </w:p>
        </w:tc>
        <w:tc>
          <w:tcPr>
            <w:tcW w:type="dxa" w:w="18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101.233</w:t>
            </w:r>
          </w:p>
        </w:tc>
        <w:tc>
          <w:tcPr>
            <w:tcW w:type="dxa" w:w="1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179.975</w:t>
            </w:r>
          </w:p>
        </w:tc>
        <w:tc>
          <w:tcPr>
            <w:tcW w:type="dxa" w:w="1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b/>
                <w:bCs/>
                <w:sz w:val="18"/>
                <w:szCs w:val="18"/>
              </w:rPr>
              <w:t xml:space="preserve">1,06×</w:t>
            </w:r>
          </w:p>
        </w:tc>
      </w:tr>
      <w:tr>
        <w:trPr>
          <w:cantSplit/>
        </w:trPr>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0,10 (anterior)</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366</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80.446</w:t>
            </w:r>
          </w:p>
        </w:tc>
        <w:tc>
          <w:tcPr>
            <w:tcW w:type="dxa" w:w="1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212.460</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340.232</w:t>
            </w:r>
          </w:p>
        </w:tc>
        <w:tc>
          <w:tcPr>
            <w:tcW w:type="dxa" w:w="1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2,34×</w:t>
            </w:r>
          </w:p>
        </w:tc>
      </w:tr>
      <w:tr>
        <w:trPr>
          <w:cantSplit/>
        </w:trPr>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0,50</w:t>
            </w:r>
          </w:p>
        </w:tc>
        <w:tc>
          <w:tcPr>
            <w:tcW w:type="dxa" w:w="1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199</w:t>
            </w:r>
          </w:p>
        </w:tc>
        <w:tc>
          <w:tcPr>
            <w:tcW w:type="dxa" w:w="1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82.885</w:t>
            </w:r>
          </w:p>
        </w:tc>
        <w:tc>
          <w:tcPr>
            <w:tcW w:type="dxa" w:w="18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577.903</w:t>
            </w:r>
          </w:p>
        </w:tc>
        <w:tc>
          <w:tcPr>
            <w:tcW w:type="dxa" w:w="1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811.476</w:t>
            </w:r>
          </w:p>
        </w:tc>
        <w:tc>
          <w:tcPr>
            <w:tcW w:type="dxa" w:w="1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6,18×</w:t>
            </w:r>
          </w:p>
        </w:tc>
      </w:tr>
      <w:tr>
        <w:trPr>
          <w:cantSplit/>
        </w:trPr>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1,00</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310</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83.721</w:t>
            </w:r>
          </w:p>
        </w:tc>
        <w:tc>
          <w:tcPr>
            <w:tcW w:type="dxa" w:w="1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1.798.185</w:t>
            </w:r>
          </w:p>
        </w:tc>
        <w:tc>
          <w:tcPr>
            <w:tcW w:type="dxa" w:w="1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2.330.449</w:t>
            </w:r>
          </w:p>
        </w:tc>
        <w:tc>
          <w:tcPr>
            <w:tcW w:type="dxa" w:w="1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20,79×</w:t>
            </w:r>
          </w:p>
        </w:tc>
      </w:tr>
    </w:tbl>
    <w:p>
      <w:pPr>
        <w:keepNext/>
        <w:spacing w:after="40" w:before="120"/>
        <w:jc w:val="center"/>
      </w:pPr>
      <w:r>
        <w:drawing>
          <wp:inline distT="0" distB="0" distL="0" distR="0">
            <wp:extent cx="3810000" cy="2085975"/>
            <wp:effectExtent t="0" r="0" b="0" l="0"/>
            <wp:docPr id="7" name="lambda_maestro.png" descr="Razón entre la penalización por inventario y el slippage para cada λ (escala logarítmica)." title="Razón entre la penalización por inventario y el slippage para cada λ (escala logarít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085975"/>
                    </a:xfrm>
                    <a:prstGeom prst="rect">
                      <a:avLst/>
                    </a:prstGeom>
                  </pic:spPr>
                </pic:pic>
              </a:graphicData>
            </a:graphic>
          </wp:inline>
        </w:drawing>
      </w:r>
    </w:p>
    <w:p>
      <w:pPr>
        <w:spacing w:after="200" w:before="60"/>
        <w:jc w:val="center"/>
      </w:pPr>
      <w:r>
        <w:rPr>
          <w:b/>
          <w:bCs/>
          <w:color w:val="1E2761"/>
          <w:sz w:val="20"/>
          <w:szCs w:val="20"/>
        </w:rPr>
        <w:t xml:space="preserve">Figura II-6. </w:t>
      </w:r>
      <w:r>
        <w:rPr>
          <w:color w:val="1E2761"/>
          <w:sz w:val="20"/>
          <w:szCs w:val="20"/>
        </w:rPr>
        <w:t xml:space="preserve">Razón entre la penalización por inventario y el slippage para cada λ (escala logarítmica).</w:t>
      </w:r>
    </w:p>
    <w:p>
      <w:pPr>
        <w:keepNext w:val="false"/>
        <w:spacing w:after="120" w:before="0" w:line="276"/>
        <w:jc w:val="both"/>
      </w:pPr>
      <w:r>
        <w:t xml:space="preserve">Con λ bajo (0,01) la penalización equivale a solo el 23 % del slippage y al agente le conviene dejar acciones sin comprar para evitar cruzar el spread; con λ alto (0,50 o más) la penalización domina la recompensa y las desviaciones de R_M son tan grandes que desestabilizarían el entrenamiento del crítico. Se fijó </w:t>
      </w:r>
      <w:r>
        <w:rPr>
          <w:b/>
          <w:bCs/>
        </w:rPr>
        <w:t xml:space="preserve">λ = 0,05</w:t>
      </w:r>
      <w:r>
        <w:t xml:space="preserve">, donde la penalización y el costo tienen la misma escala (1,06 veces). </w:t>
      </w:r>
      <w:r>
        <w:rPr>
          <w:b/>
          <w:bCs/>
        </w:rPr>
        <w:t xml:space="preserve">Es provisional:</w:t>
      </w:r>
      <w:r>
        <w:t xml:space="preserve"> se calibró por escala con una política sin entrenar y debe revalidarse cuando el Maestro tenga entrenamiento real.</w:t>
      </w:r>
    </w:p>
    <w:p>
      <w:pPr>
        <w:pStyle w:val="Heading3"/>
      </w:pPr>
      <w:r>
        <w:t xml:space="preserve">Recompensa de los Ejecutores (tarea 2.2.3)</w:t>
      </w:r>
    </w:p>
    <w:p>
      <w:pPr>
        <w:keepNext w:val="false"/>
        <w:spacing w:after="120" w:before="0" w:line="276"/>
        <w:jc w:val="both"/>
      </w:pPr>
      <w:r>
        <w:t xml:space="preserve">La recompensa de los Ejecutores sigue la fórmula del Título I, R_E = (P_mid − P_ejec) · q_ejec − β · σ²_precio · q_ejec. Benjamín Farias definió σ²_precio como la varianza muestral del precio medio en una ventana móvil de 20 pasos (10 minutos) </w:t>
      </w:r>
      <w:r>
        <w:rPr>
          <w:b/>
          <w:bCs/>
        </w:rPr>
        <w:t xml:space="preserve">causal</w:t>
      </w:r>
      <w:r>
        <w:t xml:space="preserve"> (en el paso t solo usa precios observados hasta t − 1; una prueba aplica un salto de precio en t = 25 y comprueba que σ² no cambia hasta t = 26) y </w:t>
      </w:r>
      <w:r>
        <w:rPr>
          <w:b/>
          <w:bCs/>
        </w:rPr>
        <w:t xml:space="preserve">normalizada por el largo de la ventana</w:t>
      </w:r>
      <w:r>
        <w:t xml:space="preserve">, de modo que estima la varianza del cambio de precio en un paso. La recompensa se expresa en pesos por acción del slice. Antes de esta tarea el término de riesgo valía cero en los dos entornos.</w:t>
      </w:r>
    </w:p>
    <w:p>
      <w:pPr>
        <w:keepNext w:val="false"/>
        <w:spacing w:after="120" w:before="0" w:line="276"/>
        <w:jc w:val="both"/>
      </w:pPr>
      <w:r>
        <w:t xml:space="preserve">Con 60 episodios por tramo, la distribución de R_E (análisis de Paolo Sepúlveda) muestra una escala muy distinta entre tramos (el desvío baja de 2,8 en la apertura a 1,2 en el cierre) y colas pesadas y asimétricas en la apertura (asimetría cercana a −3 y curtosis en exceso de 15). Sin normalizar, pocos episodios dominarían el gradiente y un mismo coeficiente de aprendizaje no serviría igual para los tres Ejecutores; por eso se usa un normalizador móvil que deja la salida dentro de [−1, 1].</w:t>
      </w:r>
    </w:p>
    <w:p>
      <w:pPr>
        <w:keepNext w:val="false"/>
        <w:spacing w:after="120" w:before="0" w:line="276"/>
        <w:jc w:val="both"/>
      </w:pPr>
      <w:r>
        <w:rPr>
          <w:b/>
          <w:bCs/>
        </w:rPr>
        <w:t xml:space="preserve">Elección de β.</w:t>
      </w:r>
      <w:r>
        <w:t xml:space="preserve"> Se hizo en dos fases. En la fase 1 (Benjamín Farias) se calculó β∗, el valor con el que el riesgo y el costo de precio pesan lo mismo en el agregado: 0,0618 con políticas heurísticas en ABIDES calibrado (0,6077 en el simulador de Poisson, que no sirve para calibrar el nivel de β porque su β∗ depende del prior de σ²). En la fase 2 (Paolo Sepúlveda) se entrenó un Ejecutor con PPO en ABIDES calibrado, tramo de apertura, durante 300 episodios por valor de β y se evaluó con 30 semillas nuevas.</w:t>
      </w:r>
    </w:p>
    <w:p>
      <w:pPr>
        <w:keepNext/>
        <w:spacing w:after="80" w:before="160"/>
        <w:jc w:val="left"/>
      </w:pPr>
      <w:r>
        <w:rPr>
          <w:b/>
          <w:bCs/>
          <w:color w:val="1E2761"/>
          <w:sz w:val="20"/>
          <w:szCs w:val="20"/>
        </w:rPr>
        <w:t xml:space="preserve">Tabla II-20. </w:t>
      </w:r>
      <w:r>
        <w:rPr>
          <w:color w:val="1E2761"/>
          <w:sz w:val="20"/>
          <w:szCs w:val="20"/>
        </w:rPr>
        <w:t xml:space="preserve">Fase 2 de la elección de β (PPO en ABIDES, apertura, 30 semillas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00"/>
        <w:gridCol w:w="1700"/>
        <w:gridCol w:w="2026"/>
      </w:tblGrid>
      <w:tr>
        <w:trPr>
          <w:cantSplit/>
          <w:tblHeader/>
        </w:trPr>
        <w:tc>
          <w:tcPr>
            <w:tcW w:type="dxa" w:w="1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β</w:t>
            </w:r>
          </w:p>
        </w:tc>
        <w:tc>
          <w:tcPr>
            <w:tcW w:type="dxa" w:w="18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Múltiplo de β∗</w:t>
            </w:r>
          </w:p>
        </w:tc>
        <w:tc>
          <w:tcPr>
            <w:tcW w:type="dxa" w:w="21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Slippage medio (bps)</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Error estándar</w:t>
            </w:r>
          </w:p>
        </w:tc>
        <w:tc>
          <w:tcPr>
            <w:tcW w:type="dxa" w:w="20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Orden completada</w:t>
            </w:r>
          </w:p>
        </w:tc>
      </w:tr>
      <w:tr>
        <w:trPr>
          <w:cantSplit/>
        </w:trPr>
        <w:tc>
          <w:tcPr>
            <w:tcW w:type="dxa" w:w="1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0,00000</w:t>
            </w:r>
          </w:p>
        </w:tc>
        <w:tc>
          <w:tcPr>
            <w:tcW w:type="dxa" w:w="1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 (control)</w:t>
            </w:r>
          </w:p>
        </w:tc>
        <w:tc>
          <w:tcPr>
            <w:tcW w:type="dxa" w:w="2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5,12</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3,47</w:t>
            </w:r>
          </w:p>
        </w:tc>
        <w:tc>
          <w:tcPr>
            <w:tcW w:type="dxa" w:w="2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97,3 %</w:t>
            </w:r>
          </w:p>
        </w:tc>
      </w:tr>
      <w:tr>
        <w:trPr>
          <w:cantSplit/>
        </w:trPr>
        <w:tc>
          <w:tcPr>
            <w:tcW w:type="dxa" w:w="1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b/>
                <w:bCs/>
                <w:sz w:val="18"/>
                <w:szCs w:val="18"/>
              </w:rPr>
              <w:t xml:space="preserve">0,00618</w:t>
            </w:r>
          </w:p>
        </w:tc>
        <w:tc>
          <w:tcPr>
            <w:tcW w:type="dxa" w:w="18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b/>
                <w:bCs/>
                <w:sz w:val="18"/>
                <w:szCs w:val="18"/>
              </w:rPr>
              <w:t xml:space="preserve">0,1×</w:t>
            </w:r>
          </w:p>
        </w:tc>
        <w:tc>
          <w:tcPr>
            <w:tcW w:type="dxa" w:w="2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4,71</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2,79</w:t>
            </w:r>
          </w:p>
        </w:tc>
        <w:tc>
          <w:tcPr>
            <w:tcW w:type="dxa" w:w="2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b/>
                <w:bCs/>
                <w:sz w:val="18"/>
                <w:szCs w:val="18"/>
              </w:rPr>
              <w:t xml:space="preserve">100 %</w:t>
            </w:r>
          </w:p>
        </w:tc>
      </w:tr>
      <w:tr>
        <w:trPr>
          <w:cantSplit/>
        </w:trPr>
        <w:tc>
          <w:tcPr>
            <w:tcW w:type="dxa" w:w="1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0,01854</w:t>
            </w:r>
          </w:p>
        </w:tc>
        <w:tc>
          <w:tcPr>
            <w:tcW w:type="dxa" w:w="1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0,3×</w:t>
            </w:r>
          </w:p>
        </w:tc>
        <w:tc>
          <w:tcPr>
            <w:tcW w:type="dxa" w:w="2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5,77</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2,42</w:t>
            </w:r>
          </w:p>
        </w:tc>
        <w:tc>
          <w:tcPr>
            <w:tcW w:type="dxa" w:w="2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34,1 %</w:t>
            </w:r>
          </w:p>
        </w:tc>
      </w:tr>
      <w:tr>
        <w:trPr>
          <w:cantSplit/>
        </w:trPr>
        <w:tc>
          <w:tcPr>
            <w:tcW w:type="dxa" w:w="1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0,06180</w:t>
            </w:r>
          </w:p>
        </w:tc>
        <w:tc>
          <w:tcPr>
            <w:tcW w:type="dxa" w:w="18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1×</w:t>
            </w:r>
          </w:p>
        </w:tc>
        <w:tc>
          <w:tcPr>
            <w:tcW w:type="dxa" w:w="2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sin ejecuciones</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w:t>
            </w:r>
          </w:p>
        </w:tc>
        <w:tc>
          <w:tcPr>
            <w:tcW w:type="dxa" w:w="2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0 %</w:t>
            </w:r>
          </w:p>
        </w:tc>
      </w:tr>
    </w:tbl>
    <w:p>
      <w:pPr>
        <w:keepNext/>
        <w:spacing w:after="40" w:before="120"/>
        <w:jc w:val="center"/>
      </w:pPr>
      <w:r>
        <w:drawing>
          <wp:inline distT="0" distB="0" distL="0" distR="0">
            <wp:extent cx="5143500" cy="1943100"/>
            <wp:effectExtent t="0" r="0" b="0" l="0"/>
            <wp:docPr id="8" name="beta_fase2_apertura.png" descr="Slippage y cumplimiento de la orden para cada β (apertura). La línea punteada del cumplimiento marca el umbral de 95 %." title="Slippage y cumplimiento de la orden para cada β (apertura). La línea punteada del cumplimiento marca el umbral de 9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943100"/>
                    </a:xfrm>
                    <a:prstGeom prst="rect">
                      <a:avLst/>
                    </a:prstGeom>
                  </pic:spPr>
                </pic:pic>
              </a:graphicData>
            </a:graphic>
          </wp:inline>
        </w:drawing>
      </w:r>
    </w:p>
    <w:p>
      <w:pPr>
        <w:spacing w:after="200" w:before="60"/>
        <w:jc w:val="center"/>
      </w:pPr>
      <w:r>
        <w:rPr>
          <w:b/>
          <w:bCs/>
          <w:color w:val="1E2761"/>
          <w:sz w:val="20"/>
          <w:szCs w:val="20"/>
        </w:rPr>
        <w:t xml:space="preserve">Figura II-7. </w:t>
      </w:r>
      <w:r>
        <w:rPr>
          <w:color w:val="1E2761"/>
          <w:sz w:val="20"/>
          <w:szCs w:val="20"/>
        </w:rPr>
        <w:t xml:space="preserve">Slippage y cumplimiento de la orden para cada β (apertura). La línea punteada del cumplimiento marca el umbral de 95 %.</w:t>
      </w:r>
    </w:p>
    <w:p>
      <w:pPr>
        <w:keepNext w:val="false"/>
        <w:spacing w:after="120" w:before="0" w:line="276"/>
        <w:jc w:val="both"/>
      </w:pPr>
      <w:r>
        <w:t xml:space="preserve">La regla de selección se fijó antes de ver los datos: se exige que se complete al menos el 95 % de la orden y, entre los valores que cumplen, se elige el de menor slippage si el Wilcoxon pareado lo respalda. Solo 0,1 × β∗ cumple, y queda </w:t>
      </w:r>
      <w:r>
        <w:rPr>
          <w:b/>
          <w:bCs/>
        </w:rPr>
        <w:t xml:space="preserve">β = 0,0061796</w:t>
      </w:r>
      <w:r>
        <w:t xml:space="preserve">. Dos hallazgos acotan ese resultado:</w:t>
      </w:r>
    </w:p>
    <w:p>
      <w:pPr>
        <w:pStyle w:val="ListParagraph"/>
        <w:numPr>
          <w:ilvl w:val="0"/>
          <w:numId w:val="2"/>
        </w:numPr>
        <w:spacing w:after="60" w:line="276"/>
        <w:jc w:val="both"/>
      </w:pPr>
      <w:r>
        <w:rPr>
          <w:b/>
          <w:bCs/>
        </w:rPr>
        <w:t xml:space="preserve">Con β alto, la red aprende a no operar.</w:t>
      </w:r>
      <w:r>
        <w:t xml:space="preserve"> Como el término de riesgo se cobra sobre lo ejecutado, no ejecutar sale gratis: con 0,3× se completa el 34 % de la orden y con 1× la red no opera. No es un error de código sino una propiedad de la fórmula del Título I.</w:t>
      </w:r>
    </w:p>
    <w:p>
      <w:pPr>
        <w:pStyle w:val="ListParagraph"/>
        <w:numPr>
          <w:ilvl w:val="0"/>
          <w:numId w:val="2"/>
        </w:numPr>
        <w:spacing w:after="60" w:line="276"/>
        <w:jc w:val="both"/>
      </w:pPr>
      <w:r>
        <w:rPr>
          <w:b/>
          <w:bCs/>
        </w:rPr>
        <w:t xml:space="preserve">La diferencia con el control es pequeña</w:t>
      </w:r>
      <w:r>
        <w:t xml:space="preserve"> (4,71 frente a 5,12 bps, dentro del error estándar) y TWAP con órdenes límite (4,06 bps) iguala o supera a las redes con este entrenamiento corto. El PPO todavía no demuestra ventaja sobre el benchmark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DDE6F7" w:color="auto" w:val="clear"/>
            <w:tcMar>
              <w:top w:type="dxa" w:w="100"/>
              <w:left w:type="dxa" w:w="160"/>
              <w:bottom w:type="dxa" w:w="100"/>
              <w:right w:type="dxa" w:w="160"/>
            </w:tcMar>
          </w:tcPr>
          <w:p>
            <w:pPr>
              <w:spacing w:after="60"/>
            </w:pPr>
            <w:r>
              <w:rPr>
                <w:b/>
                <w:bCs/>
                <w:color w:val="1E2761"/>
                <w:sz w:val="22"/>
                <w:szCs w:val="22"/>
              </w:rPr>
              <w:t xml:space="preserve">Decisión D3 (qué mide el término de riesgo)</w:t>
            </w:r>
          </w:p>
          <w:p>
            <w:pPr>
              <w:keepNext/>
              <w:spacing w:after="60" w:line="264"/>
              <w:jc w:val="both"/>
            </w:pPr>
            <w:r>
              <w:rPr>
                <w:sz w:val="21"/>
                <w:szCs w:val="21"/>
              </w:rPr>
              <w:t xml:space="preserve">Se evaluaron cuatro opciones frente al Título I. Rige la </w:t>
            </w:r>
            <w:r>
              <w:rPr>
                <w:b/>
                <w:bCs/>
                <w:sz w:val="21"/>
                <w:szCs w:val="21"/>
              </w:rPr>
              <w:t xml:space="preserve">opción 0</w:t>
            </w:r>
            <w:r>
              <w:rPr>
                <w:sz w:val="21"/>
                <w:szCs w:val="21"/>
              </w:rPr>
              <w:t xml:space="preserve">: se mantiene la fórmula del Título I con β = 0,0061796, con una </w:t>
            </w:r>
            <w:r>
              <w:rPr>
                <w:b/>
                <w:bCs/>
                <w:sz w:val="21"/>
                <w:szCs w:val="21"/>
              </w:rPr>
              <w:t xml:space="preserve">regla de vigilancia</w:t>
            </w:r>
            <w:r>
              <w:rPr>
                <w:sz w:val="21"/>
                <w:szCs w:val="21"/>
              </w:rPr>
              <w:t xml:space="preserve"> fijada de antemano: si en el entrenamiento inicial (2.3.5) el cumplimiento de la orden baja del 95 %, se pasa a la opción A (riesgo sobre el inventario pendiente, ya implementada y apagada por defecto) y se declara como desviación justificada con datos. La revisión final se hace al cierre del sprint 5. β es </w:t>
            </w:r>
            <w:r>
              <w:rPr>
                <w:b/>
                <w:bCs/>
                <w:sz w:val="21"/>
                <w:szCs w:val="21"/>
              </w:rPr>
              <w:t xml:space="preserve">provisional</w:t>
            </w:r>
            <w:r>
              <w:rPr>
                <w:sz w:val="21"/>
                <w:szCs w:val="21"/>
              </w:rPr>
              <w:t xml:space="preserve">: solo se calibró en la apertura, con una semilla de red.</w:t>
            </w:r>
          </w:p>
        </w:tc>
      </w:tr>
    </w:tbl>
    <w:p>
      <w:pPr>
        <w:spacing w:after="100"/>
      </w:pPr>
    </w:p>
    <w:p>
      <w:r>
        <w:br w:type="page"/>
      </w:r>
    </w:p>
    <w:p>
      <w:pPr>
        <w:pStyle w:val="Heading1"/>
      </w:pPr>
      <w:r>
        <w:t xml:space="preserve">Capítulo 6. Experimentación y validación</w:t>
      </w:r>
    </w:p>
    <w:p>
      <w:pPr>
        <w:pStyle w:val="Heading2"/>
      </w:pPr>
      <w:r>
        <w:t xml:space="preserve">6.1 Validación estadística del simulador (tarea 2.2.5)</w:t>
      </w:r>
    </w:p>
    <w:p>
      <w:pPr>
        <w:keepNext w:val="false"/>
        <w:spacing w:after="120" w:before="0" w:line="276"/>
        <w:jc w:val="both"/>
      </w:pPr>
      <w:r>
        <w:t xml:space="preserve">El objetivo es comprobar si el simulador calibrado reproduce características del mercado real. Paolo Sepúlveda realizó la validación formal sobre FALABELLA con </w:t>
      </w:r>
      <w:r>
        <w:rPr>
          <w:b/>
          <w:bCs/>
        </w:rPr>
        <w:t xml:space="preserve">30 semillas simuladas por tramo</w:t>
      </w:r>
      <w:r>
        <w:t xml:space="preserve">, comparando los retornos de 5 minutos simulados con los reales, antes y después de calibrar. Los criterios se fijaron antes de ver los datos:</w:t>
      </w:r>
    </w:p>
    <w:p>
      <w:pPr>
        <w:keepNext/>
        <w:spacing w:after="80" w:before="160"/>
        <w:jc w:val="left"/>
      </w:pPr>
      <w:r>
        <w:rPr>
          <w:b/>
          <w:bCs/>
          <w:color w:val="1E2761"/>
          <w:sz w:val="20"/>
          <w:szCs w:val="20"/>
        </w:rPr>
        <w:t xml:space="preserve">Tabla II-21. </w:t>
      </w:r>
      <w:r>
        <w:rPr>
          <w:color w:val="1E2761"/>
          <w:sz w:val="20"/>
          <w:szCs w:val="20"/>
        </w:rPr>
        <w:t xml:space="preserve">Criterios de validación y resultado (FALABELLA, simulador calibrado).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1826"/>
      </w:tblGrid>
      <w:tr>
        <w:trPr>
          <w:cantSplit/>
          <w:tblHeader/>
        </w:trPr>
        <w:tc>
          <w:tcPr>
            <w:tcW w:type="dxa" w:w="2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Criterio</w:t>
            </w:r>
          </w:p>
        </w:tc>
        <w:tc>
          <w:tcPr>
            <w:tcW w:type="dxa" w:w="4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Qué exige</w:t>
            </w:r>
          </w:p>
        </w:tc>
        <w:tc>
          <w:tcPr>
            <w:tcW w:type="dxa" w:w="18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Resultado</w:t>
            </w:r>
          </w:p>
        </w:tc>
      </w:tr>
      <w:tr>
        <w:trPr>
          <w:cantSplit/>
        </w:trPr>
        <w:tc>
          <w:tcPr>
            <w:tcW w:type="dxa" w:w="2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A. Literal del plan</w:t>
            </w:r>
          </w:p>
        </w:tc>
        <w:tc>
          <w:tcPr>
            <w:tcW w:type="dxa" w:w="4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Todos los p de KS y Mann–Whitney, por tramo, mayores que 0,05</w:t>
            </w:r>
          </w:p>
        </w:tc>
        <w:tc>
          <w:tcPr>
            <w:tcW w:type="dxa" w:w="1826"/>
            <w:tcBorders>
              <w:top w:val="single" w:color="B8C2DC" w:sz="4"/>
              <w:left w:val="single" w:color="B8C2DC" w:sz="4"/>
              <w:bottom w:val="single" w:color="B8C2DC" w:sz="4"/>
              <w:right w:val="single" w:color="B8C2DC" w:sz="4"/>
            </w:tcBorders>
            <w:shd w:fill="F9DAD5" w:color="auto" w:val="clear"/>
            <w:tcMar>
              <w:top w:type="dxa" w:w="60"/>
              <w:left w:type="dxa" w:w="100"/>
              <w:bottom w:type="dxa" w:w="60"/>
              <w:right w:type="dxa" w:w="100"/>
            </w:tcMar>
            <w:vAlign w:val="center"/>
          </w:tcPr>
          <w:p>
            <w:pPr>
              <w:keepNext/>
              <w:spacing w:after="20"/>
              <w:jc w:val="center"/>
            </w:pPr>
            <w:r>
              <w:rPr>
                <w:b/>
                <w:bCs/>
                <w:sz w:val="18"/>
                <w:szCs w:val="18"/>
              </w:rPr>
              <w:t xml:space="preserve">NO CUMPLE</w:t>
            </w:r>
          </w:p>
        </w:tc>
      </w:tr>
      <w:tr>
        <w:trPr>
          <w:cantSplit/>
        </w:trPr>
        <w:tc>
          <w:tcPr>
            <w:tcW w:type="dxa" w:w="2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B. Forma</w:t>
            </w:r>
          </w:p>
        </w:tc>
        <w:tc>
          <w:tcPr>
            <w:tcW w:type="dxa" w:w="4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KS con muestras estandarizadas, p mayor que 0,05 en los 3 tramos</w:t>
            </w:r>
          </w:p>
        </w:tc>
        <w:tc>
          <w:tcPr>
            <w:tcW w:type="dxa" w:w="1826"/>
            <w:tcBorders>
              <w:top w:val="single" w:color="B8C2DC" w:sz="4"/>
              <w:left w:val="single" w:color="B8C2DC" w:sz="4"/>
              <w:bottom w:val="single" w:color="B8C2DC" w:sz="4"/>
              <w:right w:val="single" w:color="B8C2DC" w:sz="4"/>
            </w:tcBorders>
            <w:shd w:fill="F9DAD5" w:color="auto" w:val="clear"/>
            <w:tcMar>
              <w:top w:type="dxa" w:w="60"/>
              <w:left w:type="dxa" w:w="100"/>
              <w:bottom w:type="dxa" w:w="60"/>
              <w:right w:type="dxa" w:w="100"/>
            </w:tcMar>
            <w:vAlign w:val="center"/>
          </w:tcPr>
          <w:p>
            <w:pPr>
              <w:keepNext/>
              <w:spacing w:after="20"/>
              <w:jc w:val="center"/>
            </w:pPr>
            <w:r>
              <w:rPr>
                <w:b/>
                <w:bCs/>
                <w:sz w:val="18"/>
                <w:szCs w:val="18"/>
              </w:rPr>
              <w:t xml:space="preserve">NO CUMPLE</w:t>
            </w:r>
          </w:p>
        </w:tc>
      </w:tr>
      <w:tr>
        <w:trPr>
          <w:cantSplit/>
        </w:trPr>
        <w:tc>
          <w:tcPr>
            <w:tcW w:type="dxa" w:w="2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 Efecto</w:t>
            </w:r>
          </w:p>
        </w:tc>
        <w:tc>
          <w:tcPr>
            <w:tcW w:type="dxa" w:w="4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|g de Hedges| menor que 0,5 en los 3 tramos</w:t>
            </w:r>
          </w:p>
        </w:tc>
        <w:tc>
          <w:tcPr>
            <w:tcW w:type="dxa" w:w="18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spacing w:after="20"/>
              <w:jc w:val="center"/>
            </w:pPr>
            <w:r>
              <w:rPr>
                <w:b/>
                <w:bCs/>
                <w:sz w:val="18"/>
                <w:szCs w:val="18"/>
              </w:rPr>
              <w:t xml:space="preserve">CUMPLE</w:t>
            </w:r>
          </w:p>
        </w:tc>
      </w:tr>
      <w:tr>
        <w:trPr>
          <w:cantSplit/>
        </w:trPr>
        <w:tc>
          <w:tcPr>
            <w:tcW w:type="dxa" w:w="2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D. Patrón</w:t>
            </w:r>
          </w:p>
        </w:tc>
        <w:tc>
          <w:tcPr>
            <w:tcW w:type="dxa" w:w="4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Volatilidad máxima en la apertura y volumen por vela creciente</w:t>
            </w:r>
          </w:p>
        </w:tc>
        <w:tc>
          <w:tcPr>
            <w:tcW w:type="dxa" w:w="18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CUMPLE</w:t>
            </w:r>
          </w:p>
        </w:tc>
      </w:tr>
    </w:tbl>
    <w:p>
      <w:pPr>
        <w:spacing w:after="100"/>
      </w:pPr>
    </w:p>
    <w:p>
      <w:pPr>
        <w:keepNext w:val="false"/>
        <w:spacing w:after="120" w:before="0" w:line="276"/>
        <w:jc w:val="both"/>
      </w:pPr>
      <w:r>
        <w:rPr>
          <w:b/>
          <w:bCs/>
        </w:rPr>
        <w:t xml:space="preserve">Veredicto: el simulador calibrado NO es válido según el criterio literal del plan.</w:t>
      </w:r>
      <w:r>
        <w:t xml:space="preserve"> El KS crudo rechaza en los tres tramos (por muy poco en apertura y cierre, con D / D crítico de 1,10 y 1,03, y con claridad en media jornada, 1,75); tras la corrección de Holm por comparaciones múltiples solo sigue rechazando media jornada. En cambio, la </w:t>
      </w:r>
      <w:r>
        <w:rPr>
          <w:b/>
          <w:bCs/>
        </w:rPr>
        <w:t xml:space="preserve">escala</w:t>
      </w:r>
      <w:r>
        <w:t xml:space="preserve"> de los retornos coincide (desvío simulado sobre real de 0,89 a 0,98, tamaño de efecto trivial) y también el </w:t>
      </w:r>
      <w:r>
        <w:rPr>
          <w:b/>
          <w:bCs/>
        </w:rPr>
        <w:t xml:space="preserve">patrón entre tramos</w:t>
      </w:r>
      <w:r>
        <w:t xml:space="preserve">.</w:t>
      </w:r>
    </w:p>
    <w:p>
      <w:pPr>
        <w:keepNext/>
        <w:spacing w:after="80" w:before="160"/>
        <w:jc w:val="left"/>
      </w:pPr>
      <w:r>
        <w:rPr>
          <w:b/>
          <w:bCs/>
          <w:color w:val="1E2761"/>
          <w:sz w:val="20"/>
          <w:szCs w:val="20"/>
        </w:rPr>
        <w:t xml:space="preserve">Tabla II-22. </w:t>
      </w:r>
      <w:r>
        <w:rPr>
          <w:color w:val="1E2761"/>
          <w:sz w:val="20"/>
          <w:szCs w:val="20"/>
        </w:rPr>
        <w:t xml:space="preserve">KS de dos muestras sobre los retornos de 5 minutos y tamaño del efecto (FALABELLA, 30 semillas).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100"/>
        <w:gridCol w:w="1300"/>
        <w:gridCol w:w="1700"/>
        <w:gridCol w:w="1200"/>
        <w:gridCol w:w="1126"/>
      </w:tblGrid>
      <w:tr>
        <w:trPr>
          <w:cantSplit/>
          <w:tblHeader/>
        </w:trPr>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Tramo</w:t>
            </w:r>
          </w:p>
        </w:tc>
        <w:tc>
          <w:tcPr>
            <w:tcW w:type="dxa" w:w="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w:t>
            </w:r>
          </w:p>
        </w:tc>
        <w:tc>
          <w:tcPr>
            <w:tcW w:type="dxa" w:w="11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w:t>
            </w:r>
          </w:p>
        </w:tc>
        <w:tc>
          <w:tcPr>
            <w:tcW w:type="dxa" w:w="1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 / D crítico</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 Mann–Whitney (|ret.|)</w:t>
            </w:r>
          </w:p>
        </w:tc>
        <w:tc>
          <w:tcPr>
            <w:tcW w:type="dxa" w:w="12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g de Hedges</w:t>
            </w:r>
          </w:p>
        </w:tc>
        <w:tc>
          <w:tcPr>
            <w:tcW w:type="dxa" w:w="11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Desvío sim. / real</w:t>
            </w:r>
          </w:p>
        </w:tc>
      </w:tr>
      <w:tr>
        <w:trPr>
          <w:cantSplit/>
        </w:trPr>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Apertura</w:t>
            </w:r>
          </w:p>
        </w:tc>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0,073</w:t>
            </w:r>
          </w:p>
        </w:tc>
        <w:tc>
          <w:tcPr>
            <w:tcW w:type="dxa" w:w="1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0,021</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1,10</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0,086</w:t>
            </w:r>
          </w:p>
        </w:tc>
        <w:tc>
          <w:tcPr>
            <w:tcW w:type="dxa" w:w="1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0,01</w:t>
            </w:r>
          </w:p>
        </w:tc>
        <w:tc>
          <w:tcPr>
            <w:tcW w:type="dxa" w:w="11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0,98</w:t>
            </w:r>
          </w:p>
        </w:tc>
      </w:tr>
      <w:tr>
        <w:trPr>
          <w:cantSplit/>
        </w:trPr>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Media jornada</w:t>
            </w:r>
          </w:p>
        </w:tc>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0,098</w:t>
            </w:r>
          </w:p>
        </w:tc>
        <w:tc>
          <w:tcPr>
            <w:tcW w:type="dxa" w:w="1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&lt; 0,0001</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1,75</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0,0061</w:t>
            </w:r>
          </w:p>
        </w:tc>
        <w:tc>
          <w:tcPr>
            <w:tcW w:type="dxa" w:w="12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−0,03</w:t>
            </w:r>
          </w:p>
        </w:tc>
        <w:tc>
          <w:tcPr>
            <w:tcW w:type="dxa" w:w="11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0,89</w:t>
            </w:r>
          </w:p>
        </w:tc>
      </w:tr>
      <w:tr>
        <w:trPr>
          <w:cantSplit/>
        </w:trPr>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Cierre</w:t>
            </w:r>
          </w:p>
        </w:tc>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0,066</w:t>
            </w:r>
          </w:p>
        </w:tc>
        <w:tc>
          <w:tcPr>
            <w:tcW w:type="dxa" w:w="1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0,039</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1,03</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0,339</w:t>
            </w:r>
          </w:p>
        </w:tc>
        <w:tc>
          <w:tcPr>
            <w:tcW w:type="dxa" w:w="1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−0,03</w:t>
            </w:r>
          </w:p>
        </w:tc>
        <w:tc>
          <w:tcPr>
            <w:tcW w:type="dxa" w:w="11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0,96</w:t>
            </w:r>
          </w:p>
        </w:tc>
      </w:tr>
    </w:tbl>
    <w:p>
      <w:pPr>
        <w:keepNext/>
        <w:spacing w:after="40" w:before="120"/>
        <w:jc w:val="center"/>
      </w:pPr>
      <w:r>
        <w:drawing>
          <wp:inline distT="0" distB="0" distL="0" distR="0">
            <wp:extent cx="5524500" cy="2943225"/>
            <wp:effectExtent t="0" r="0" b="0" l="0"/>
            <wp:docPr id="9" name="validacion_formal_2_2_5.png" descr="Validación formal del simulador de FALABELLA: comparación de retornos simulados y reales por tramo (30 semillas)." title="Validación formal del simulador de FALABELLA: comparación de retornos simulados y reales por tramo (30 sem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43225"/>
                    </a:xfrm>
                    <a:prstGeom prst="rect">
                      <a:avLst/>
                    </a:prstGeom>
                  </pic:spPr>
                </pic:pic>
              </a:graphicData>
            </a:graphic>
          </wp:inline>
        </w:drawing>
      </w:r>
    </w:p>
    <w:p>
      <w:pPr>
        <w:spacing w:after="200" w:before="60"/>
        <w:jc w:val="center"/>
      </w:pPr>
      <w:r>
        <w:rPr>
          <w:b/>
          <w:bCs/>
          <w:color w:val="1E2761"/>
          <w:sz w:val="20"/>
          <w:szCs w:val="20"/>
        </w:rPr>
        <w:t xml:space="preserve">Figura II-8. </w:t>
      </w:r>
      <w:r>
        <w:rPr>
          <w:color w:val="1E2761"/>
          <w:sz w:val="20"/>
          <w:szCs w:val="20"/>
        </w:rPr>
        <w:t xml:space="preserve">Validación formal del simulador de FALABELLA: comparación de retornos simulados y reales por tramo (30 semillas).</w:t>
      </w:r>
    </w:p>
    <w:p>
      <w:pPr>
        <w:keepNext/>
        <w:spacing w:after="80" w:before="160"/>
        <w:jc w:val="left"/>
      </w:pPr>
      <w:r>
        <w:rPr>
          <w:b/>
          <w:bCs/>
          <w:color w:val="1E2761"/>
          <w:sz w:val="20"/>
          <w:szCs w:val="20"/>
        </w:rPr>
        <w:t xml:space="preserve">Tabla II-23. </w:t>
      </w:r>
      <w:r>
        <w:rPr>
          <w:color w:val="1E2761"/>
          <w:sz w:val="20"/>
          <w:szCs w:val="20"/>
        </w:rPr>
        <w:t xml:space="preserve">Antes y después de calibrar (estadístico D del 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600"/>
        <w:gridCol w:w="1626"/>
      </w:tblGrid>
      <w:tr>
        <w:trPr>
          <w:cantSplit/>
          <w:tblHeader/>
        </w:trPr>
        <w:tc>
          <w:tcPr>
            <w:tcW w:type="dxa" w:w="2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Tramo</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 antes</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D después</w:t>
            </w:r>
          </w:p>
        </w:tc>
        <w:tc>
          <w:tcPr>
            <w:tcW w:type="dxa" w:w="16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g antes</w:t>
            </w:r>
          </w:p>
        </w:tc>
        <w:tc>
          <w:tcPr>
            <w:tcW w:type="dxa" w:w="16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g después</w:t>
            </w:r>
          </w:p>
        </w:tc>
      </w:tr>
      <w:tr>
        <w:trPr>
          <w:cantSplit/>
        </w:trPr>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Apertura</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0,324</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0,073</w:t>
            </w:r>
          </w:p>
        </w:tc>
        <w:tc>
          <w:tcPr>
            <w:tcW w:type="dxa" w:w="1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−0,98</w:t>
            </w:r>
          </w:p>
        </w:tc>
        <w:tc>
          <w:tcPr>
            <w:tcW w:type="dxa" w:w="1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0,01</w:t>
            </w:r>
          </w:p>
        </w:tc>
      </w:tr>
      <w:tr>
        <w:trPr>
          <w:cantSplit/>
        </w:trPr>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Media jornada</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0,279</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0,098</w:t>
            </w:r>
          </w:p>
        </w:tc>
        <w:tc>
          <w:tcPr>
            <w:tcW w:type="dxa" w:w="1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−0,86</w:t>
            </w:r>
          </w:p>
        </w:tc>
        <w:tc>
          <w:tcPr>
            <w:tcW w:type="dxa" w:w="1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−0,03</w:t>
            </w:r>
          </w:p>
        </w:tc>
      </w:tr>
      <w:tr>
        <w:trPr>
          <w:cantSplit/>
        </w:trPr>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Cierre</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0,275</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0,066</w:t>
            </w:r>
          </w:p>
        </w:tc>
        <w:tc>
          <w:tcPr>
            <w:tcW w:type="dxa" w:w="1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−0,92</w:t>
            </w:r>
          </w:p>
        </w:tc>
        <w:tc>
          <w:tcPr>
            <w:tcW w:type="dxa" w:w="1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−0,03</w:t>
            </w:r>
          </w:p>
        </w:tc>
      </w:tr>
    </w:tbl>
    <w:p>
      <w:pPr>
        <w:spacing w:after="100"/>
      </w:pPr>
    </w:p>
    <w:p>
      <w:pPr>
        <w:keepNext w:val="false"/>
        <w:spacing w:after="120" w:before="0" w:line="276"/>
        <w:jc w:val="both"/>
      </w:pPr>
      <w:r>
        <w:t xml:space="preserve">La calibración mejora la distancia entre distribuciones por un factor de 3 a 4 (D de 0,28 a 0,32 antes frente a 0,07 a 0,10 después), aunque no alcanza el criterio del plan. Los valores por semilla frente al real muestran una volatilidad entre un 8 % y un 14 % bajo el objetivo, y un volumen por vela simulado un 49 %, 22 % y 5 % mayor en apertura, media jornada y cierre. El spread simulado (0,17 bps) queda decenas de veces bajo el rango de los proxies reales (4 a 35 bps): el Implementation Shortfall absoluto en ABIDES-Gym está </w:t>
      </w:r>
      <w:r>
        <w:rPr>
          <w:b/>
          <w:bCs/>
        </w:rPr>
        <w:t xml:space="preserve">subestimado</w:t>
      </w:r>
      <w:r>
        <w:t xml:space="preserve">, pero la comparación entre políticas sigue siendo válida.</w:t>
      </w:r>
    </w:p>
    <w:p>
      <w:pPr>
        <w:keepNext/>
        <w:spacing w:after="80" w:before="160"/>
        <w:jc w:val="left"/>
      </w:pPr>
      <w:r>
        <w:rPr>
          <w:b/>
          <w:bCs/>
          <w:color w:val="1E2761"/>
          <w:sz w:val="20"/>
          <w:szCs w:val="20"/>
        </w:rPr>
        <w:t xml:space="preserve">Tabla II-24. </w:t>
      </w:r>
      <w:r>
        <w:rPr>
          <w:color w:val="1E2761"/>
          <w:sz w:val="20"/>
          <w:szCs w:val="20"/>
        </w:rPr>
        <w:t xml:space="preserve">Validación formal de COPEC y ECL (30 semillas, calibración con 3 agentes de momentum).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00"/>
        <w:gridCol w:w="1526"/>
      </w:tblGrid>
      <w:tr>
        <w:trPr>
          <w:cantSplit/>
          <w:tblHeader/>
        </w:trPr>
        <w:tc>
          <w:tcPr>
            <w:tcW w:type="dxa" w:w="38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Activo y tramo</w:t>
            </w:r>
          </w:p>
        </w:tc>
        <w:tc>
          <w:tcPr>
            <w:tcW w:type="dxa" w:w="2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KS: D / D crítico</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g de Hedges</w:t>
            </w:r>
          </w:p>
        </w:tc>
        <w:tc>
          <w:tcPr>
            <w:tcW w:type="dxa" w:w="15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Veredicto</w:t>
            </w:r>
          </w:p>
        </w:tc>
      </w:tr>
      <w:tr>
        <w:trPr>
          <w:cantSplit/>
        </w:trPr>
        <w:tc>
          <w:tcPr>
            <w:tcW w:type="dxa" w:w="38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COPEC (apertura / media jornada / cierre)</w:t>
            </w:r>
          </w:p>
        </w:tc>
        <w:tc>
          <w:tcPr>
            <w:tcW w:type="dxa" w:w="2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1,43 / 1,75 / 2,40</w:t>
            </w:r>
          </w:p>
        </w:tc>
        <w:tc>
          <w:tcPr>
            <w:tcW w:type="dxa" w:w="1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0,18 / 0,11 / 0,27</w:t>
            </w:r>
          </w:p>
        </w:tc>
        <w:tc>
          <w:tcPr>
            <w:tcW w:type="dxa" w:w="15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spacing w:after="20"/>
              <w:jc w:val="center"/>
            </w:pPr>
            <w:r>
              <w:rPr>
                <w:b/>
                <w:bCs/>
                <w:sz w:val="18"/>
                <w:szCs w:val="18"/>
              </w:rPr>
              <w:t xml:space="preserve">NO VÁLIDO</w:t>
            </w:r>
          </w:p>
        </w:tc>
      </w:tr>
      <w:tr>
        <w:trPr>
          <w:cantSplit/>
        </w:trPr>
        <w:tc>
          <w:tcPr>
            <w:tcW w:type="dxa" w:w="38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ECL (apertura / media jornada / cierre)</w:t>
            </w:r>
          </w:p>
        </w:tc>
        <w:tc>
          <w:tcPr>
            <w:tcW w:type="dxa" w:w="2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1,66 / 2,22 / 1,85</w:t>
            </w:r>
          </w:p>
        </w:tc>
        <w:tc>
          <w:tcPr>
            <w:tcW w:type="dxa" w:w="1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0,28 / 0,20 / 0,22</w:t>
            </w:r>
          </w:p>
        </w:tc>
        <w:tc>
          <w:tcPr>
            <w:tcW w:type="dxa" w:w="15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NO VÁLIDO</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DDE6F7" w:color="auto" w:val="clear"/>
            <w:tcMar>
              <w:top w:type="dxa" w:w="100"/>
              <w:left w:type="dxa" w:w="160"/>
              <w:bottom w:type="dxa" w:w="100"/>
              <w:right w:type="dxa" w:w="160"/>
            </w:tcMar>
          </w:tcPr>
          <w:p>
            <w:pPr>
              <w:spacing w:after="60"/>
            </w:pPr>
            <w:r>
              <w:rPr>
                <w:b/>
                <w:bCs/>
                <w:color w:val="1E2761"/>
                <w:sz w:val="22"/>
                <w:szCs w:val="22"/>
              </w:rPr>
              <w:t xml:space="preserve">Lectura del resultado</w:t>
            </w:r>
          </w:p>
          <w:p>
            <w:pPr>
              <w:keepNext/>
              <w:spacing w:after="60" w:line="264"/>
              <w:jc w:val="both"/>
            </w:pPr>
            <w:r>
              <w:rPr>
                <w:sz w:val="21"/>
                <w:szCs w:val="21"/>
              </w:rPr>
              <w:t xml:space="preserve">Que la tarea quede </w:t>
            </w:r>
            <w:r>
              <w:rPr>
                <w:b/>
                <w:bCs/>
                <w:sz w:val="21"/>
                <w:szCs w:val="21"/>
              </w:rPr>
              <w:t xml:space="preserve">hecha con límite</w:t>
            </w:r>
            <w:r>
              <w:rPr>
                <w:sz w:val="21"/>
                <w:szCs w:val="21"/>
              </w:rPr>
              <w:t xml:space="preserve"> significa que se ejecutó y se midió: el simulador calibrado aproxima la escala y el patrón del mercado, pero no pasa el criterio literal del plan. El límite queda escrito con su causa: el KS con miles de retornos agrupados rechaza diferencias pequeñas (por eso se reportan también el tamaño del efecto y el D / D crítico), y el valor real de volatilidad o volumen es un único número, por lo que se usa una prueba de una muestra. Un solo activo por informe y un solo régimen de mercado.</w:t>
            </w:r>
          </w:p>
        </w:tc>
      </w:tr>
    </w:tbl>
    <w:p>
      <w:pPr>
        <w:pStyle w:val="Heading2"/>
      </w:pPr>
      <w:r>
        <w:t xml:space="preserve">6.2 Benchmarks TWAP y VWAP (tarea 2.3.4)</w:t>
      </w:r>
    </w:p>
    <w:p>
      <w:pPr>
        <w:keepNext w:val="false"/>
        <w:spacing w:after="120" w:before="0" w:line="276"/>
        <w:jc w:val="both"/>
      </w:pPr>
      <w:r>
        <w:t xml:space="preserve">Los benchmarks siguen las definiciones de la sección 4.1.4 de la Parte I. </w:t>
      </w:r>
      <w:r>
        <w:rPr>
          <w:b/>
          <w:bCs/>
        </w:rPr>
        <w:t xml:space="preserve">TWAP</w:t>
      </w:r>
      <w:r>
        <w:t xml:space="preserve"> reparte la meta-orden en partes iguales a lo largo del tiempo (Q/T por periodo), ignorando las condiciones de liquidez. </w:t>
      </w:r>
      <w:r>
        <w:rPr>
          <w:b/>
          <w:bCs/>
        </w:rPr>
        <w:t xml:space="preserve">VWAP</w:t>
      </w:r>
      <w:r>
        <w:t xml:space="preserve"> la reparte en proporción al perfil histórico de volumen. Se implementaron sobre los 13 periodos de 30 minutos de la jornada:</w:t>
      </w:r>
    </w:p>
    <w:p>
      <w:pPr>
        <w:pStyle w:val="ListParagraph"/>
        <w:numPr>
          <w:ilvl w:val="0"/>
          <w:numId w:val="2"/>
        </w:numPr>
        <w:spacing w:after="60" w:line="276"/>
        <w:jc w:val="both"/>
      </w:pPr>
      <w:r>
        <w:t xml:space="preserve">TWAP asigna 1/13 de la orden (7,7 %) a cada periodo.</w:t>
      </w:r>
    </w:p>
    <w:p>
      <w:pPr>
        <w:pStyle w:val="ListParagraph"/>
        <w:numPr>
          <w:ilvl w:val="0"/>
          <w:numId w:val="2"/>
        </w:numPr>
        <w:spacing w:after="60" w:line="276"/>
        <w:jc w:val="both"/>
      </w:pPr>
      <w:r>
        <w:t xml:space="preserve">VWAP pondera cada periodo por el volumen promedio real del IPSA en su tramo (datos de la sección 3.2): 5,9 % de la orden por periodo de apertura, 6,8 % por periodo de media jornada y 10,4 % por periodo de cierre.</w:t>
      </w:r>
    </w:p>
    <w:p>
      <w:pPr>
        <w:pStyle w:val="ListParagraph"/>
        <w:numPr>
          <w:ilvl w:val="0"/>
          <w:numId w:val="2"/>
        </w:numPr>
        <w:spacing w:after="60" w:line="276"/>
        <w:jc w:val="both"/>
      </w:pPr>
      <w:r>
        <w:t xml:space="preserve">Dentro de cada periodo ambos ejecutan con una política deliberadamente simple: orden de mercado por todo el volumen asignado, sin táctica, coherente con la descripción de estas estrategias como reglas fijas.</w:t>
      </w:r>
    </w:p>
    <w:p>
      <w:pPr>
        <w:pStyle w:val="ListParagraph"/>
        <w:numPr>
          <w:ilvl w:val="0"/>
          <w:numId w:val="2"/>
        </w:numPr>
        <w:spacing w:after="60" w:line="276"/>
        <w:jc w:val="both"/>
      </w:pPr>
      <w:r>
        <w:t xml:space="preserve">Se ejecutan sobre el mismo Ejecutor (simulador de Poisson calibrado) y se miden con las mismas métricas que usará el sistema PPO. Corren fuera del Maestro porque sus fracciones son continuas y no calzan con las 10 fracciones discretas de la red (decisión 6, sección 4.3).</w:t>
      </w:r>
    </w:p>
    <w:p>
      <w:pPr>
        <w:keepNext w:val="false"/>
        <w:spacing w:after="120" w:before="0" w:line="276"/>
        <w:jc w:val="both"/>
      </w:pPr>
      <w:r>
        <w:t xml:space="preserve">Se ejecutaron 10 meta-órdenes de prueba (5.000 acciones de FALABELLA, con 10 semillas distintas del simulador, de modo que cada estrategia se evalúa sobre las mismas 10 realizaciones de mercado):</w:t>
      </w:r>
    </w:p>
    <w:p>
      <w:pPr>
        <w:keepNext/>
        <w:spacing w:after="80" w:before="160"/>
        <w:jc w:val="left"/>
      </w:pPr>
      <w:r>
        <w:rPr>
          <w:b/>
          <w:bCs/>
          <w:color w:val="1E2761"/>
          <w:sz w:val="20"/>
          <w:szCs w:val="20"/>
        </w:rPr>
        <w:t xml:space="preserve">Tabla II-25. </w:t>
      </w:r>
      <w:r>
        <w:rPr>
          <w:color w:val="1E2761"/>
          <w:sz w:val="20"/>
          <w:szCs w:val="20"/>
        </w:rPr>
        <w:t xml:space="preserve">Implementation Shortfall de TWAP y VWAP (10 corridas pareadas, simulador de Poisson).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Estrategia</w:t>
            </w:r>
          </w:p>
        </w:tc>
        <w:tc>
          <w:tcPr>
            <w:tcW w:type="dxa" w:w="3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IS medio (pesos)</w:t>
            </w:r>
          </w:p>
        </w:tc>
        <w:tc>
          <w:tcPr>
            <w:tcW w:type="dxa" w:w="30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Desviación estándar</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TWAP</w:t>
            </w:r>
          </w:p>
        </w:tc>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36.932</w:t>
            </w:r>
          </w:p>
        </w:tc>
        <w:tc>
          <w:tcPr>
            <w:tcW w:type="dxa" w:w="3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189</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9"/>
                <w:szCs w:val="19"/>
              </w:rPr>
              <w:t xml:space="preserve">VWAP</w:t>
            </w:r>
          </w:p>
        </w:tc>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9"/>
                <w:szCs w:val="19"/>
              </w:rPr>
              <w:t xml:space="preserve">35.569</w:t>
            </w:r>
          </w:p>
        </w:tc>
        <w:tc>
          <w:tcPr>
            <w:tcW w:type="dxa" w:w="3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9"/>
                <w:szCs w:val="19"/>
              </w:rPr>
              <w:t xml:space="preserve">211</w:t>
            </w:r>
          </w:p>
        </w:tc>
      </w:tr>
    </w:tbl>
    <w:p>
      <w:pPr>
        <w:keepNext/>
        <w:spacing w:after="40" w:before="120"/>
        <w:jc w:val="center"/>
      </w:pPr>
      <w:r>
        <w:drawing>
          <wp:inline distT="0" distB="0" distL="0" distR="0">
            <wp:extent cx="5334000" cy="2171700"/>
            <wp:effectExtent t="0" r="0" b="0" l="0"/>
            <wp:docPr id="10" name="benchmarks_twap_vwap.png" descr="Implementation Shortfall de TWAP y VWAP: distribución por estrategia y valor por meta-orden." title="Implementation Shortfall de TWAP y VWAP: distribución por estrategia y valor por meta-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71700"/>
                    </a:xfrm>
                    <a:prstGeom prst="rect">
                      <a:avLst/>
                    </a:prstGeom>
                  </pic:spPr>
                </pic:pic>
              </a:graphicData>
            </a:graphic>
          </wp:inline>
        </w:drawing>
      </w:r>
    </w:p>
    <w:p>
      <w:pPr>
        <w:spacing w:after="200" w:before="60"/>
        <w:jc w:val="center"/>
      </w:pPr>
      <w:r>
        <w:rPr>
          <w:b/>
          <w:bCs/>
          <w:color w:val="1E2761"/>
          <w:sz w:val="20"/>
          <w:szCs w:val="20"/>
        </w:rPr>
        <w:t xml:space="preserve">Figura II-9. </w:t>
      </w:r>
      <w:r>
        <w:rPr>
          <w:color w:val="1E2761"/>
          <w:sz w:val="20"/>
          <w:szCs w:val="20"/>
        </w:rPr>
        <w:t xml:space="preserve">Implementation Shortfall de TWAP y VWAP: distribución por estrategia y valor por meta-orden.</w:t>
      </w:r>
    </w:p>
    <w:p>
      <w:pPr>
        <w:keepNext w:val="false"/>
        <w:spacing w:after="120" w:before="0" w:line="276"/>
        <w:jc w:val="both"/>
      </w:pPr>
      <w:r>
        <w:t xml:space="preserve">VWAP tuvo menor costo que TWAP en promedio (3,8 % menos), y en las 10 corridas. La prueba de Wilcoxon de rangos con signo da p = 0,00195 (el mínimo posible con 10 pares, cuando todas las diferencias tienen el mismo signo) y el d de Cohen pareado es −21,1 (negativo porque la primera estrategia, TWAP, tuvo peor costo). Un tamaño de efecto tan grande se explica por la poca varianza entre corridas del simulador de Poisson (desviación de unos 200 pesos frente a una diferencia de medias de unos 1.360); con el ruido de ABIDES-Gym se espera un efecto menor, aunque la dirección debería mantenerse.</w:t>
      </w:r>
    </w:p>
    <w:p>
      <w:pPr>
        <w:keepNext w:val="false"/>
        <w:spacing w:after="120" w:before="0" w:line="276"/>
        <w:jc w:val="both"/>
      </w:pPr>
      <w:r>
        <w:t xml:space="preserve">Para la tesis, la lectura relevante es que </w:t>
      </w:r>
      <w:r>
        <w:rPr>
          <w:b/>
          <w:bCs/>
        </w:rPr>
        <w:t xml:space="preserve">VWAP es el benchmark más exigente</w:t>
      </w:r>
      <w:r>
        <w:t xml:space="preserve">: es contra él que el sistema PPO deberá demostrar la reducción de al menos 10 % que plantea la Parte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FF3D1" w:color="auto" w:val="clear"/>
            <w:tcMar>
              <w:top w:type="dxa" w:w="100"/>
              <w:left w:type="dxa" w:w="160"/>
              <w:bottom w:type="dxa" w:w="100"/>
              <w:right w:type="dxa" w:w="160"/>
            </w:tcMar>
          </w:tcPr>
          <w:p>
            <w:pPr>
              <w:spacing w:after="60"/>
            </w:pPr>
            <w:r>
              <w:rPr>
                <w:b/>
                <w:bCs/>
                <w:color w:val="1E2761"/>
                <w:sz w:val="22"/>
                <w:szCs w:val="22"/>
              </w:rPr>
              <w:t xml:space="preserve">Limitaciones</w:t>
            </w:r>
          </w:p>
          <w:p>
            <w:pPr>
              <w:keepNext/>
              <w:spacing w:after="60" w:line="264"/>
              <w:jc w:val="both"/>
            </w:pPr>
            <w:r>
              <w:rPr>
                <w:sz w:val="21"/>
                <w:szCs w:val="21"/>
              </w:rPr>
              <w:t xml:space="preserve">Corrido contra el simulador de Poisson y no contra ABIDES-Gym, por lo que los valores absolutos no son comparables con jornadas reales. Las 10 meta-órdenes son semillas de un mismo tamaño y no las meta-órdenes oficiales de la tarea 2.3.3; el código se volverá a correr con ellas cuando estén definidas. Un TWAP o VWAP profesional podría además usar órdenes límite, algo que no se modeló.</w:t>
            </w:r>
          </w:p>
        </w:tc>
      </w:tr>
    </w:tbl>
    <w:p>
      <w:pPr>
        <w:pStyle w:val="Heading2"/>
      </w:pPr>
      <w:r>
        <w:t xml:space="preserve">6.3 Metodología de la evaluación final</w:t>
      </w:r>
    </w:p>
    <w:p>
      <w:pPr>
        <w:keepNext w:val="false"/>
        <w:spacing w:after="120" w:before="0" w:line="276"/>
        <w:jc w:val="both"/>
      </w:pPr>
      <w:r>
        <w:t xml:space="preserve">La hipótesis del proyecto es que el sistema PPO reduce el Implementation Shortfall en al menos 10 % respecto de TWAP y VWAP con significancia estadística (α = 0,05). El plan contempla dos etapas de evaluación:</w:t>
      </w:r>
    </w:p>
    <w:p>
      <w:pPr>
        <w:pStyle w:val="ListParagraph"/>
        <w:numPr>
          <w:ilvl w:val="0"/>
          <w:numId w:val="2"/>
        </w:numPr>
        <w:spacing w:after="60" w:line="276"/>
        <w:jc w:val="both"/>
      </w:pPr>
      <w:r>
        <w:rPr>
          <w:b/>
          <w:bCs/>
        </w:rPr>
        <w:t xml:space="preserve">30 corridas con hiperparámetros ajustados</w:t>
      </w:r>
      <w:r>
        <w:t xml:space="preserve"> (sprint 6), con semillas distintas: media, desviación estándar e intervalo de confianza del 95 % del IS, con comparación frente a los benchmarks.</w:t>
      </w:r>
    </w:p>
    <w:p>
      <w:pPr>
        <w:pStyle w:val="ListParagraph"/>
        <w:numPr>
          <w:ilvl w:val="0"/>
          <w:numId w:val="2"/>
        </w:numPr>
        <w:spacing w:after="60" w:line="276"/>
        <w:jc w:val="both"/>
      </w:pPr>
      <w:r>
        <w:rPr>
          <w:b/>
          <w:bCs/>
        </w:rPr>
        <w:t xml:space="preserve">90 corridas de evaluación estadística</w:t>
      </w:r>
      <w:r>
        <w:t xml:space="preserve"> (sprint 7): 30 escenarios parametrizados de baja, media y alta liquidez, con 3 réplicas cada uno, para medir la robustez del sistema frente a condiciones distintas.</w:t>
      </w:r>
    </w:p>
    <w:p>
      <w:pPr>
        <w:keepNext w:val="false"/>
        <w:spacing w:after="120" w:before="0" w:line="276"/>
        <w:jc w:val="both"/>
      </w:pPr>
      <w:r>
        <w:t xml:space="preserve">Para comparar resultados se usarán las funciones de la sección 5.6: Wilcoxon para muestras pareadas (mismas corridas con distintas estrategias), Kruskal–Wallis con pruebas por pares y corrección de Bonferroni para comparar PPO, TWAP y VWAP a la vez, y el d de Cohen para reportar la magnitud del efecto además de su significancia.</w:t>
      </w:r>
    </w:p>
    <w:p>
      <w:pPr>
        <w:pStyle w:val="Heading2"/>
      </w:pPr>
      <w:r>
        <w:t xml:space="preserve">6.4 Pruebas de software</w:t>
      </w:r>
    </w:p>
    <w:p>
      <w:pPr>
        <w:keepNext w:val="false"/>
        <w:spacing w:after="120" w:before="0" w:line="276"/>
        <w:jc w:val="both"/>
      </w:pPr>
      <w:r>
        <w:t xml:space="preserve">Al cierre del sprint 4 (integración del PR #36, 19 de octubre) el repositorio incluye </w:t>
      </w:r>
      <w:r>
        <w:rPr>
          <w:b/>
          <w:bCs/>
        </w:rPr>
        <w:t xml:space="preserve">263 pruebas automáticas</w:t>
      </w:r>
      <w:r>
        <w:t xml:space="preserve"> (pytest): pasan 255 y 8 se omiten porque requieren archivos de mercado o ABIDES-Gym que solo existen en el entorno donde se generaron. El total incluye 18 pruebas de componentes del sprint 5 que ya estaban integrados en esa fecha (protocolo CTDE, entrenador PPO y meta-órdenes).</w:t>
      </w:r>
    </w:p>
    <w:p>
      <w:pPr>
        <w:keepNext/>
        <w:spacing w:after="80" w:before="160"/>
        <w:jc w:val="left"/>
      </w:pPr>
      <w:r>
        <w:rPr>
          <w:b/>
          <w:bCs/>
          <w:color w:val="1E2761"/>
          <w:sz w:val="20"/>
          <w:szCs w:val="20"/>
        </w:rPr>
        <w:t xml:space="preserve">Tabla II-26. </w:t>
      </w:r>
      <w:r>
        <w:rPr>
          <w:color w:val="1E2761"/>
          <w:sz w:val="20"/>
          <w:szCs w:val="20"/>
        </w:rPr>
        <w:t xml:space="preserve">Pruebas automáticas por área al 19 de octubre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626"/>
      </w:tblGrid>
      <w:tr>
        <w:trPr>
          <w:cantSplit/>
          <w:tblHeader/>
        </w:trPr>
        <w:tc>
          <w:tcPr>
            <w:tcW w:type="dxa" w:w="3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Área</w:t>
            </w:r>
          </w:p>
        </w:tc>
        <w:tc>
          <w:tcPr>
            <w:tcW w:type="dxa" w:w="11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Pruebas</w:t>
            </w:r>
          </w:p>
        </w:tc>
        <w:tc>
          <w:tcPr>
            <w:tcW w:type="dxa" w:w="46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Qué verifica</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Pipeline de datos y perfil intradiario</w:t>
            </w:r>
          </w:p>
        </w:tc>
        <w:tc>
          <w:tcPr>
            <w:tcW w:type="dxa" w:w="1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27</w:t>
            </w:r>
          </w:p>
        </w:tc>
        <w:tc>
          <w:tcPr>
            <w:tcW w:type="dxa" w:w="4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Limpieza, variables del Maestro y perfil de volumen por tramo.</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Poisson (calibración y simulador)</w:t>
            </w:r>
          </w:p>
        </w:tc>
        <w:tc>
          <w:tcPr>
            <w:tcW w:type="dxa" w:w="1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48</w:t>
            </w:r>
          </w:p>
        </w:tc>
        <w:tc>
          <w:tcPr>
            <w:tcW w:type="dxa" w:w="4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Estimación de λ y θ, validación KS, simulador de libro y ejecución a mercado.</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ABIDES-Gym y calibración de rmsc04</w:t>
            </w:r>
          </w:p>
        </w:tc>
        <w:tc>
          <w:tcPr>
            <w:tcW w:type="dxa" w:w="1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67</w:t>
            </w:r>
          </w:p>
        </w:tc>
        <w:tc>
          <w:tcPr>
            <w:tcW w:type="dxa" w:w="4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Traducción de estados y acciones, momentos simulados, búsqueda en grilla y calibración con datos reales.</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Recompensas y barrido de β</w:t>
            </w:r>
          </w:p>
        </w:tc>
        <w:tc>
          <w:tcPr>
            <w:tcW w:type="dxa" w:w="1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45</w:t>
            </w:r>
          </w:p>
        </w:tc>
        <w:tc>
          <w:tcPr>
            <w:tcW w:type="dxa" w:w="4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σ² causal, escala, opción de riesgo sobre lo pendiente, barrido y fase 2 de β.</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Redes, PPO y orquestador</w:t>
            </w:r>
          </w:p>
        </w:tc>
        <w:tc>
          <w:tcPr>
            <w:tcW w:type="dxa" w:w="1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31</w:t>
            </w:r>
          </w:p>
        </w:tc>
        <w:tc>
          <w:tcPr>
            <w:tcW w:type="dxa" w:w="4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Actor-Crítico, fábrica de redes, entrenador PPO y ciclo Maestro–Ejecutor.</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Validación y benchmarks</w:t>
            </w:r>
          </w:p>
        </w:tc>
        <w:tc>
          <w:tcPr>
            <w:tcW w:type="dxa" w:w="1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39</w:t>
            </w:r>
          </w:p>
        </w:tc>
        <w:tc>
          <w:tcPr>
            <w:tcW w:type="dxa" w:w="4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Validación formal (KS, Mann–Whitney, Holm), corridas, informe, TWAP/VWAP y métricas estadísticas.</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Otros (copias de seguridad y cuadernos)</w:t>
            </w:r>
          </w:p>
        </w:tc>
        <w:tc>
          <w:tcPr>
            <w:tcW w:type="dxa" w:w="1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6</w:t>
            </w:r>
          </w:p>
        </w:tc>
        <w:tc>
          <w:tcPr>
            <w:tcW w:type="dxa" w:w="46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Snapshots de datos y cuadernos de Colab.</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b/>
                <w:bCs/>
                <w:sz w:val="18"/>
                <w:szCs w:val="18"/>
              </w:rPr>
              <w:t xml:space="preserve">Total</w:t>
            </w:r>
          </w:p>
        </w:tc>
        <w:tc>
          <w:tcPr>
            <w:tcW w:type="dxa" w:w="1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b/>
                <w:bCs/>
                <w:sz w:val="18"/>
                <w:szCs w:val="18"/>
              </w:rPr>
              <w:t xml:space="preserve">263</w:t>
            </w:r>
          </w:p>
        </w:tc>
        <w:tc>
          <w:tcPr>
            <w:tcW w:type="dxa" w:w="46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255 pasan, 8 omitidas</w:t>
            </w:r>
          </w:p>
        </w:tc>
      </w:tr>
    </w:tbl>
    <w:p>
      <w:pPr>
        <w:spacing w:after="100"/>
      </w:pPr>
    </w:p>
    <w:p>
      <w:pPr>
        <w:keepNext w:val="false"/>
        <w:spacing w:after="120" w:before="0" w:line="276"/>
        <w:jc w:val="both"/>
      </w:pPr>
      <w:r>
        <w:t xml:space="preserve">Dos tipos de verificación no están automatizados: la integración con ABIDES-Gym real, que solo corre en el entorno de Colab con Python 3.9 y se verificó manualmente (sección 5.4 y calibraciones de la sección 5.8), y la convergencia del PPO, que requiere el entrenamiento completo del sprint 5.</w:t>
      </w:r>
    </w:p>
    <w:p>
      <w:pPr>
        <w:pStyle w:val="Heading2"/>
      </w:pPr>
      <w:r>
        <w:t xml:space="preserve">6.5 Entrenamiento del sistema PPO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9DAD5" w:color="auto" w:val="clear"/>
            <w:tcMar>
              <w:top w:type="dxa" w:w="100"/>
              <w:left w:type="dxa" w:w="160"/>
              <w:bottom w:type="dxa" w:w="100"/>
              <w:right w:type="dxa" w:w="160"/>
            </w:tcMar>
          </w:tcPr>
          <w:p>
            <w:pPr>
              <w:spacing w:after="60"/>
            </w:pPr>
            <w:r>
              <w:rPr>
                <w:b/>
                <w:bCs/>
                <w:color w:val="1E2761"/>
                <w:sz w:val="22"/>
                <w:szCs w:val="22"/>
              </w:rPr>
              <w:t xml:space="preserve">Estado al cierre del sprint 4</w:t>
            </w:r>
          </w:p>
          <w:p>
            <w:pPr>
              <w:keepNext/>
              <w:spacing w:after="60" w:line="264"/>
              <w:jc w:val="both"/>
            </w:pPr>
            <w:r>
              <w:rPr>
                <w:sz w:val="21"/>
                <w:szCs w:val="21"/>
              </w:rPr>
              <w:t xml:space="preserve">Se entrenó un Ejecutor (apertura) con PPO durante 300 episodios por valor de β para elegir ese coeficiente (sección 5.9): es un entrenamiento </w:t>
            </w:r>
            <w:r>
              <w:rPr>
                <w:b/>
                <w:bCs/>
                <w:sz w:val="21"/>
                <w:szCs w:val="21"/>
              </w:rPr>
              <w:t xml:space="preserve">corto y con un objetivo de calibración</w:t>
            </w:r>
            <w:r>
              <w:rPr>
                <w:sz w:val="21"/>
                <w:szCs w:val="21"/>
              </w:rPr>
              <w:t xml:space="preserve">, no el entrenamiento del sistema. El ciclo de entrenamiento jerárquico completo (Maestro y tres Ejecutores) corresponde al sprint 5 (12 al 23 de octubre) y el ajuste de hiperparámetros al sprint 6; ambos quedan fuera de este informe.</w:t>
            </w:r>
          </w:p>
        </w:tc>
      </w:tr>
    </w:tbl>
    <w:p>
      <w:r>
        <w:br w:type="page"/>
      </w:r>
    </w:p>
    <w:p>
      <w:pPr>
        <w:pStyle w:val="Heading1"/>
      </w:pPr>
      <w:r>
        <w:t xml:space="preserve">Capítulo 7. Resultados y evaluación</w:t>
      </w:r>
    </w:p>
    <w:p>
      <w:pPr>
        <w:keepNext w:val="false"/>
        <w:spacing w:after="120" w:before="0" w:line="276"/>
        <w:jc w:val="both"/>
      </w:pPr>
      <w:r>
        <w:t xml:space="preserve">Este capítulo reúne los resultados disponibles al cierre del sprint 4. La comparación central del proyecto, el sistema PPO frente a TWAP y VWAP, todavía no puede reportarse: depende del entrenamiento completo (sprints 5 y 6) y de la evaluación estadística (sprint 7).</w:t>
      </w:r>
    </w:p>
    <w:p>
      <w:pPr>
        <w:keepNext/>
        <w:spacing w:after="80" w:before="160"/>
        <w:jc w:val="left"/>
      </w:pPr>
      <w:r>
        <w:rPr>
          <w:b/>
          <w:bCs/>
          <w:color w:val="1E2761"/>
          <w:sz w:val="20"/>
          <w:szCs w:val="20"/>
        </w:rPr>
        <w:t xml:space="preserve">Tabla II-27. </w:t>
      </w:r>
      <w:r>
        <w:rPr>
          <w:color w:val="1E2761"/>
          <w:sz w:val="20"/>
          <w:szCs w:val="20"/>
        </w:rPr>
        <w:t xml:space="preserve">Resultados disponibles al 22 de octubre de 2026 (cierre del sprint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326"/>
        <w:gridCol w:w="1000"/>
      </w:tblGrid>
      <w:tr>
        <w:trPr>
          <w:cantSplit/>
          <w:tblHeader/>
        </w:trPr>
        <w:tc>
          <w:tcPr>
            <w:tcW w:type="dxa" w:w="2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Resultado</w:t>
            </w:r>
          </w:p>
        </w:tc>
        <w:tc>
          <w:tcPr>
            <w:tcW w:type="dxa" w:w="53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Valor principal</w:t>
            </w:r>
          </w:p>
        </w:tc>
        <w:tc>
          <w:tcPr>
            <w:tcW w:type="dxa" w:w="1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Sección</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Perfil intradiario del IPSA</w:t>
            </w:r>
          </w:p>
        </w:tc>
        <w:tc>
          <w:tcPr>
            <w:tcW w:type="dxa" w:w="5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Spread relativo 0,138 % (apertura), 0,112 % (media jornada) y 0,128 % (cierre): patrón decreciente, no en "U".</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3.2</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Calibración de Poisson (2.1.3)</w:t>
            </w:r>
          </w:p>
        </w:tc>
        <w:tc>
          <w:tcPr>
            <w:tcW w:type="dxa" w:w="5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90 de 90 pares ticker × tramo rechazan el KS al 5 %; los parámetros sirven como intensidades de entrada, no como generador de retornos.</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5.3</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Integración con ABIDES-Gym</w:t>
            </w:r>
          </w:p>
        </w:tc>
        <w:tc>
          <w:tcPr>
            <w:tcW w:type="dxa" w:w="5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Episodios completos en los 3 tramos; adaptador al formato de 27 variables y 240 acciones.</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5.4</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Calibración de rmsc04 (2.2.4)</w:t>
            </w:r>
          </w:p>
        </w:tc>
        <w:tc>
          <w:tcPr>
            <w:tcW w:type="dxa" w:w="5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FALABELLA: volatilidad dentro del 10 % del objetivo; KS rechaza en 2 de 3 tramos; volumen hasta 49 % sobre el real; spread 20 a 100 veces menor.</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5.8</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Calibración de COPEC y ECL</w:t>
            </w:r>
          </w:p>
        </w:tc>
        <w:tc>
          <w:tcPr>
            <w:tcW w:type="dxa" w:w="5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Con 3 agentes de momentum, 0 de 30 corridas desbocadas en los tres tramos (antes hasta 13 de 30); KS rechaza.</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5.8</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Recompensa del Maestro (2.2.2)</w:t>
            </w:r>
          </w:p>
        </w:tc>
        <w:tc>
          <w:tcPr>
            <w:tcW w:type="dxa" w:w="5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λ = 0,05 (penalización de 1,06 veces el slippage); provisional.</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5.9</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Recompensa de los Ejecutores (2.2.3)</w:t>
            </w:r>
          </w:p>
        </w:tc>
        <w:tc>
          <w:tcPr>
            <w:tcW w:type="dxa" w:w="5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β = 0,0061796 (0,1 × β∗), único valor que completa el 95 % de la orden en la apertura; provisional.</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8"/>
                <w:szCs w:val="18"/>
              </w:rPr>
              <w:t xml:space="preserve">5.9</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Validación formal del simulador (2.2.5)</w:t>
            </w:r>
          </w:p>
        </w:tc>
        <w:tc>
          <w:tcPr>
            <w:tcW w:type="dxa" w:w="5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No válido según el criterio literal (KS rechaza); escala y patrón entre tramos coinciden; la distancia D baja de 0,28–0,32 a 0,07–0,10 al calibrar.</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8"/>
                <w:szCs w:val="18"/>
              </w:rPr>
              <w:t xml:space="preserve">6.1</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TWAP frente a VWAP (2.3.4)</w:t>
            </w:r>
          </w:p>
        </w:tc>
        <w:tc>
          <w:tcPr>
            <w:tcW w:type="dxa" w:w="5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IS medio de 36.932 frente a 35.569 pesos; Wilcoxon p = 0,00195.</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6.2</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9DAD5" w:color="auto" w:val="clear"/>
            <w:tcMar>
              <w:top w:type="dxa" w:w="100"/>
              <w:left w:type="dxa" w:w="160"/>
              <w:bottom w:type="dxa" w:w="100"/>
              <w:right w:type="dxa" w:w="160"/>
            </w:tcMar>
          </w:tcPr>
          <w:p>
            <w:pPr>
              <w:spacing w:after="60"/>
            </w:pPr>
            <w:r>
              <w:rPr>
                <w:b/>
                <w:bCs/>
                <w:color w:val="1E2761"/>
                <w:sz w:val="22"/>
                <w:szCs w:val="22"/>
              </w:rPr>
              <w:t xml:space="preserve">Resultado principal pendiente</w:t>
            </w:r>
          </w:p>
          <w:p>
            <w:pPr>
              <w:keepNext/>
              <w:spacing w:after="60" w:line="264"/>
              <w:jc w:val="both"/>
            </w:pPr>
            <w:r>
              <w:rPr>
                <w:sz w:val="21"/>
                <w:szCs w:val="21"/>
              </w:rPr>
              <w:t xml:space="preserve">Comparación del sistema PPO frente a TWAP y VWAP: Implementation Shortfall, porcentaje de reducción, significancia y tamaño de efecto, en los 30 escenarios de liquidez. Se completará con los sprints 5 al 7.</w:t>
            </w:r>
          </w:p>
        </w:tc>
      </w:tr>
    </w:tbl>
    <w:p>
      <w:pPr>
        <w:pStyle w:val="Heading1"/>
      </w:pPr>
      <w:r>
        <w:t xml:space="preserve">Capítulo 8. Discusión y análisis crítico</w:t>
      </w:r>
    </w:p>
    <w:p>
      <w:pPr>
        <w:keepNext w:val="false"/>
        <w:spacing w:after="120" w:before="0" w:line="276"/>
        <w:jc w:val="both"/>
      </w:pPr>
      <w:r>
        <w:t xml:space="preserve">Con la evidencia del sprint 4 se pueden sostener las siguientes lecturas; las que dependen del entrenamiento del sistema quedan señaladas como pendientes.</w:t>
      </w:r>
    </w:p>
    <w:p>
      <w:pPr>
        <w:pStyle w:val="ListParagraph"/>
        <w:numPr>
          <w:ilvl w:val="0"/>
          <w:numId w:val="2"/>
        </w:numPr>
        <w:spacing w:after="60" w:line="276"/>
        <w:jc w:val="both"/>
      </w:pPr>
      <w:r>
        <w:rPr>
          <w:b/>
          <w:bCs/>
        </w:rPr>
        <w:t xml:space="preserve">El patrón intradiario del IPSA difiere de la hipótesis inicial.</w:t>
      </w:r>
      <w:r>
        <w:t xml:space="preserve"> Dos análisis independientes muestran un spread decreciente a lo largo del día. Si el patrón se sostiene con más datos, un agente eficiente debería asignar menos volumen donde el spread es mayor; es una hipótesis para el entrenamiento, no un resultado.</w:t>
      </w:r>
    </w:p>
    <w:p>
      <w:pPr>
        <w:pStyle w:val="ListParagraph"/>
        <w:numPr>
          <w:ilvl w:val="0"/>
          <w:numId w:val="2"/>
        </w:numPr>
        <w:spacing w:after="60" w:line="276"/>
        <w:jc w:val="both"/>
      </w:pPr>
      <w:r>
        <w:rPr>
          <w:b/>
          <w:bCs/>
        </w:rPr>
        <w:t xml:space="preserve">El simulador calibrado aproxima la escala y el patrón entre tramos, pero no la distribución.</w:t>
      </w:r>
      <w:r>
        <w:t xml:space="preserve"> Con 30 semillas el KS rechaza (el criterio literal del plan no se cumple en ningún activo), aunque la distancia cae de 0,28–0,32 a 0,07–0,10 y los tamaños de efecto son triviales o pequeños. Los límites son concretos y están medidos: spread simulado entre 20 y 100 veces menor que el real, volumen por vela hasta 49 % mayor en la apertura (que bajar la actividad no corrige sin perder la volatilidad) y colas más livianas que las reales.</w:t>
      </w:r>
    </w:p>
    <w:p>
      <w:pPr>
        <w:pStyle w:val="ListParagraph"/>
        <w:numPr>
          <w:ilvl w:val="0"/>
          <w:numId w:val="2"/>
        </w:numPr>
        <w:spacing w:after="60" w:line="276"/>
        <w:jc w:val="both"/>
      </w:pPr>
      <w:r>
        <w:rPr>
          <w:b/>
          <w:bCs/>
        </w:rPr>
        <w:t xml:space="preserve">El costo absoluto está subestimado, no la comparación relativa.</w:t>
      </w:r>
      <w:r>
        <w:t xml:space="preserve"> Como el spread simulado es de uno o dos ticks, el Implementation Shortfall absoluto en ABIDES-Gym es menor que el real. Las conclusiones del proyecto deben leerse como diferencias entre estrategias bajo las mismas condiciones simuladas.</w:t>
      </w:r>
    </w:p>
    <w:p>
      <w:pPr>
        <w:pStyle w:val="ListParagraph"/>
        <w:numPr>
          <w:ilvl w:val="0"/>
          <w:numId w:val="2"/>
        </w:numPr>
        <w:spacing w:after="60" w:line="276"/>
        <w:jc w:val="both"/>
      </w:pPr>
      <w:r>
        <w:rPr>
          <w:b/>
          <w:bCs/>
        </w:rPr>
        <w:t xml:space="preserve">El diseño de la recompensa condiciona lo que aprende el agente.</w:t>
      </w:r>
      <w:r>
        <w:t xml:space="preserve"> Con la fórmula del Título I, el riesgo se cobra solo sobre lo ejecutado y no ejecutar sale gratis: con β alto la red aprende a no operar. Se resolvió con el mayor β que aún completa la orden (0,1 × β∗) y una regla de vigilancia fijada de antemano (cumplimiento menor que 95 % implica pasar al riesgo sobre lo pendiente). Este hallazgo no estaba anticipado en el Título I.</w:t>
      </w:r>
    </w:p>
    <w:p>
      <w:pPr>
        <w:pStyle w:val="ListParagraph"/>
        <w:numPr>
          <w:ilvl w:val="0"/>
          <w:numId w:val="2"/>
        </w:numPr>
        <w:spacing w:after="60" w:line="276"/>
        <w:jc w:val="both"/>
      </w:pPr>
      <w:r>
        <w:rPr>
          <w:b/>
          <w:bCs/>
        </w:rPr>
        <w:t xml:space="preserve">Los benchmarks simples son exigentes.</w:t>
      </w:r>
      <w:r>
        <w:t xml:space="preserve"> VWAP supera a TWAP en costo (3,8 % menos) y, con el entrenamiento corto de la fase 2 de β, TWAP con órdenes límite (4,06 bps) iguala o supera a las redes (4,71 bps). El sistema propuesto deberá superar a VWAP, no solo a TWAP.</w:t>
      </w:r>
    </w:p>
    <w:p>
      <w:pPr>
        <w:pStyle w:val="ListParagraph"/>
        <w:numPr>
          <w:ilvl w:val="0"/>
          <w:numId w:val="2"/>
        </w:numPr>
        <w:spacing w:after="60" w:line="276"/>
        <w:jc w:val="both"/>
      </w:pPr>
      <w:r>
        <w:rPr>
          <w:b/>
          <w:bCs/>
        </w:rPr>
        <w:t xml:space="preserve">Los resultados desfavorables se reportaron, no se ajustaron.</w:t>
      </w:r>
      <w:r>
        <w:t xml:space="preserve"> Las reglas de adopción se fijaron antes de ver los datos; cuando ningún candidato las cumplió (grilla de actividad baja, megashocks) se conservó la configuración y se declaró el límite. La calibración de COPEC y ECL mostró que un parámetro por defecto (12 agentes de momentum) funciona con 1.000 agentes de ruido y desestabiliza el mercado con 250: la causa se aisló con un diagnóstico de un cambio por vez.</w:t>
      </w:r>
    </w:p>
    <w:p>
      <w:pPr>
        <w:pStyle w:val="ListParagraph"/>
        <w:numPr>
          <w:ilvl w:val="0"/>
          <w:numId w:val="2"/>
        </w:numPr>
        <w:spacing w:after="60" w:line="276"/>
        <w:jc w:val="both"/>
      </w:pPr>
      <w:r>
        <w:rPr>
          <w:b/>
          <w:bCs/>
        </w:rPr>
        <w:t xml:space="preserve">Se mejoró la calidad del código durante el sprint:</w:t>
      </w:r>
      <w:r>
        <w:t xml:space="preserve"> se ajustó el nivel de precio de las órdenes límite del simulador de Poisson (y se regeneró el barrido de β), la búsqueda de archivos de mercado admite carpetas sin datos y las corridas de β toleran políticas que no ejecutan.</w:t>
      </w:r>
    </w:p>
    <w:p>
      <w:pPr>
        <w:pStyle w:val="ListParagraph"/>
        <w:numPr>
          <w:ilvl w:val="0"/>
          <w:numId w:val="2"/>
        </w:numPr>
        <w:spacing w:after="60" w:line="276"/>
        <w:jc w:val="both"/>
      </w:pPr>
      <w:r>
        <w:rPr>
          <w:b/>
          <w:bCs/>
        </w:rPr>
        <w:t xml:space="preserve">La reproducibilidad es un riesgo manejable.</w:t>
      </w:r>
      <w:r>
        <w:t xml:space="preserve"> ABIDES-Gym está archivado y exige versiones antiguas; la receta de instalación para Colab, los scripts de cada calibración y las semillas quedaron documentados, y el simulador de Poisson permite seguir probando sin él.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DC" w:sz="4"/>
              <w:left w:val="single" w:color="B8C2DC" w:sz="4"/>
              <w:bottom w:val="single" w:color="B8C2DC" w:sz="4"/>
              <w:right w:val="single" w:color="B8C2DC" w:sz="4"/>
            </w:tcBorders>
            <w:shd w:fill="F9DAD5" w:color="auto" w:val="clear"/>
            <w:tcMar>
              <w:top w:type="dxa" w:w="100"/>
              <w:left w:type="dxa" w:w="160"/>
              <w:bottom w:type="dxa" w:w="100"/>
              <w:right w:type="dxa" w:w="160"/>
            </w:tcMar>
          </w:tcPr>
          <w:p>
            <w:pPr>
              <w:spacing w:after="60"/>
            </w:pPr>
            <w:r>
              <w:rPr>
                <w:b/>
                <w:bCs/>
                <w:color w:val="1E2761"/>
                <w:sz w:val="22"/>
                <w:szCs w:val="22"/>
              </w:rPr>
              <w:t xml:space="preserve">Por completar</w:t>
            </w:r>
          </w:p>
          <w:p>
            <w:pPr>
              <w:keepNext/>
              <w:spacing w:after="60" w:line="264"/>
              <w:jc w:val="both"/>
            </w:pPr>
            <w:r>
              <w:rPr>
                <w:sz w:val="21"/>
                <w:szCs w:val="21"/>
              </w:rPr>
              <w:t xml:space="preserve">Interpretación del comportamiento aprendido por el Maestro y los Ejecutores, análisis de sensibilidad, fortalezas y debilidades observadas en las corridas de evaluación y discusión de aplicabilidad en contextos reales (sprints 7 y 8).</w:t>
            </w:r>
          </w:p>
        </w:tc>
      </w:tr>
    </w:tbl>
    <w:p>
      <w:pPr>
        <w:pStyle w:val="Heading1"/>
      </w:pPr>
      <w:r>
        <w:t xml:space="preserve">Capítulo 9. Conclusiones y trabajo futuro</w:t>
      </w:r>
    </w:p>
    <w:p>
      <w:pPr>
        <w:pStyle w:val="Heading2"/>
      </w:pPr>
      <w:r>
        <w:t xml:space="preserve">9.1 Cumplimiento de los objetivos específicos (estado actual)</w:t>
      </w:r>
    </w:p>
    <w:p>
      <w:pPr>
        <w:keepNext/>
        <w:spacing w:after="80" w:before="160"/>
        <w:jc w:val="left"/>
      </w:pPr>
      <w:r>
        <w:rPr>
          <w:b/>
          <w:bCs/>
          <w:color w:val="1E2761"/>
          <w:sz w:val="20"/>
          <w:szCs w:val="20"/>
        </w:rPr>
        <w:t xml:space="preserve">Tabla II-28. </w:t>
      </w:r>
      <w:r>
        <w:rPr>
          <w:color w:val="1E2761"/>
          <w:sz w:val="20"/>
          <w:szCs w:val="20"/>
        </w:rPr>
        <w:t xml:space="preserve">Estado de los objetivos específicos de la Parte I al cierre del sprint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cantSplit/>
          <w:tblHeader/>
        </w:trPr>
        <w:tc>
          <w:tcPr>
            <w:tcW w:type="dxa" w:w="3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Objetivo específico</w:t>
            </w:r>
          </w:p>
        </w:tc>
        <w:tc>
          <w:tcPr>
            <w:tcW w:type="dxa" w:w="1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Estado</w:t>
            </w:r>
          </w:p>
        </w:tc>
        <w:tc>
          <w:tcPr>
            <w:tcW w:type="dxa" w:w="42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Evidencia o faltante</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Modelar un entorno de simulación de alta fidelidad del LOB</w:t>
            </w:r>
          </w:p>
        </w:tc>
        <w:tc>
          <w:tcPr>
            <w:tcW w:type="dxa" w:w="150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spacing w:after="20"/>
              <w:jc w:val="center"/>
            </w:pPr>
            <w:r>
              <w:rPr>
                <w:b/>
                <w:bCs/>
                <w:sz w:val="18"/>
                <w:szCs w:val="18"/>
              </w:rPr>
              <w:t xml:space="preserve">PARCIAL</w:t>
            </w:r>
          </w:p>
        </w:tc>
        <w:tc>
          <w:tcPr>
            <w:tcW w:type="dxa" w:w="42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ABIDES-Gym integrado y calibrado con FALABELLA, COPEC y ECL, más un simulador de Poisson; no pasa el criterio literal de validación. Límites declarados: spread y volumen.</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Implementar la arquitectura jerárquica con PPO en PyTorch</w:t>
            </w:r>
          </w:p>
        </w:tc>
        <w:tc>
          <w:tcPr>
            <w:tcW w:type="dxa" w:w="150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spacing w:after="20"/>
              <w:jc w:val="center"/>
            </w:pPr>
            <w:r>
              <w:rPr>
                <w:b/>
                <w:bCs/>
                <w:sz w:val="18"/>
                <w:szCs w:val="18"/>
              </w:rPr>
              <w:t xml:space="preserve">PARCIAL</w:t>
            </w:r>
          </w:p>
        </w:tc>
        <w:tc>
          <w:tcPr>
            <w:tcW w:type="dxa" w:w="42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Arquitectura, redes, espacios, orquestador y PPO implementados y conectados; falta el entrenamiento completo (sprints 5 y 6).</w:t>
            </w:r>
          </w:p>
        </w:tc>
      </w:tr>
      <w:tr>
        <w:trPr>
          <w:cantSplit/>
        </w:trPr>
        <w:tc>
          <w:tcPr>
            <w:tcW w:type="dxa" w:w="3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Desarrollar la función de recompensa que minimice el Implementation Shortfall</w:t>
            </w:r>
          </w:p>
        </w:tc>
        <w:tc>
          <w:tcPr>
            <w:tcW w:type="dxa" w:w="150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spacing w:after="20"/>
              <w:jc w:val="center"/>
            </w:pPr>
            <w:r>
              <w:rPr>
                <w:b/>
                <w:bCs/>
                <w:sz w:val="18"/>
                <w:szCs w:val="18"/>
              </w:rPr>
              <w:t xml:space="preserve">PARCIAL</w:t>
            </w:r>
          </w:p>
        </w:tc>
        <w:tc>
          <w:tcPr>
            <w:tcW w:type="dxa" w:w="42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R_M y R_E implementadas y calibradas (λ = 0,05; β = 0,0061796), ambas provisionales; β solo en la apertura.</w:t>
            </w:r>
          </w:p>
        </w:tc>
      </w:tr>
      <w:tr>
        <w:trPr>
          <w:cantSplit/>
        </w:trPr>
        <w:tc>
          <w:tcPr>
            <w:tcW w:type="dxa" w:w="3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Evaluar el sistema frente a TWAP y VWAP</w:t>
            </w:r>
          </w:p>
        </w:tc>
        <w:tc>
          <w:tcPr>
            <w:tcW w:type="dxa" w:w="150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PARCIAL</w:t>
            </w:r>
          </w:p>
        </w:tc>
        <w:tc>
          <w:tcPr>
            <w:tcW w:type="dxa" w:w="42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Benchmarks y herramientas estadísticas listos; falta el sistema entrenado para compararlo.</w:t>
            </w:r>
          </w:p>
        </w:tc>
      </w:tr>
    </w:tbl>
    <w:p>
      <w:pPr>
        <w:spacing w:after="100"/>
      </w:pPr>
    </w:p>
    <w:p>
      <w:pPr>
        <w:pStyle w:val="Heading2"/>
      </w:pPr>
      <w:r>
        <w:t xml:space="preserve">9.2 Conclusiones</w:t>
      </w:r>
    </w:p>
    <w:p>
      <w:pPr>
        <w:keepNext w:val="false"/>
        <w:spacing w:after="120" w:before="0" w:line="276"/>
        <w:jc w:val="both"/>
      </w:pPr>
      <w:r>
        <w:t xml:space="preserve">Al cierre del sprint 4 se cuenta con la infraestructura completa para entrenar y evaluar el sistema: datos, espacios formales, redes, algoritmo PPO, orquestador, simulador calibrado, recompensas calibradas y benchmarks. De las 19 tareas de los sprints 1 a 4, 10 se cerraron cumpliendo su criterio, 6 quedaron </w:t>
      </w:r>
      <w:r>
        <w:rPr>
          <w:b/>
          <w:bCs/>
        </w:rPr>
        <w:t xml:space="preserve">hechas con límite demostrado</w:t>
      </w:r>
      <w:r>
        <w:t xml:space="preserve"> (se ejecutaron y se midieron, con el límite y su causa escritos) y 3 entregables menores se cerraron en el PR de cierre. Las conclusiones finales (hipótesis probada o refutada, hallazgos principales e impacto esperado) se redactan en el sprint 9.</w:t>
      </w:r>
    </w:p>
    <w:p>
      <w:pPr>
        <w:pStyle w:val="Heading2"/>
      </w:pPr>
      <w:r>
        <w:t xml:space="preserve">9.3 Trabajo futuro identificado hasta ahora</w:t>
      </w:r>
    </w:p>
    <w:p>
      <w:pPr>
        <w:pStyle w:val="ListParagraph"/>
        <w:numPr>
          <w:ilvl w:val="0"/>
          <w:numId w:val="2"/>
        </w:numPr>
        <w:spacing w:after="60" w:line="276"/>
        <w:jc w:val="both"/>
      </w:pPr>
      <w:r>
        <w:t xml:space="preserve">Calibrar β también en media jornada y cierre, y revisar la decisión D3 con los resultados del entrenamiento inicial.</w:t>
      </w:r>
    </w:p>
    <w:p>
      <w:pPr>
        <w:pStyle w:val="ListParagraph"/>
        <w:numPr>
          <w:ilvl w:val="0"/>
          <w:numId w:val="2"/>
        </w:numPr>
        <w:spacing w:after="60" w:line="276"/>
        <w:jc w:val="both"/>
      </w:pPr>
      <w:r>
        <w:t xml:space="preserve">Revalidar λ del Maestro con un entrenamiento real y ajustar los hiperparámetros del PPO (sprint 6).</w:t>
      </w:r>
    </w:p>
    <w:p>
      <w:pPr>
        <w:pStyle w:val="ListParagraph"/>
        <w:numPr>
          <w:ilvl w:val="0"/>
          <w:numId w:val="2"/>
        </w:numPr>
        <w:spacing w:after="60" w:line="276"/>
        <w:jc w:val="both"/>
      </w:pPr>
      <w:r>
        <w:t xml:space="preserve">Reducir el volumen simulado y estudiar cómo ampliar el spread sin perder volatilidad, o declarar el límite en la evaluación final.</w:t>
      </w:r>
    </w:p>
    <w:p>
      <w:pPr>
        <w:pStyle w:val="ListParagraph"/>
        <w:numPr>
          <w:ilvl w:val="0"/>
          <w:numId w:val="2"/>
        </w:numPr>
        <w:spacing w:after="60" w:line="276"/>
        <w:jc w:val="both"/>
      </w:pPr>
      <w:r>
        <w:t xml:space="preserve">Recalibrar los parámetros con un snapshot posterior a la transición del IPSA a MSCI y, si se logra acceso institucional, con datos de Nivel 2.</w:t>
      </w:r>
    </w:p>
    <w:p>
      <w:pPr>
        <w:pStyle w:val="ListParagraph"/>
        <w:numPr>
          <w:ilvl w:val="0"/>
          <w:numId w:val="2"/>
        </w:numPr>
        <w:spacing w:after="60" w:line="276"/>
        <w:jc w:val="both"/>
      </w:pPr>
      <w:r>
        <w:t xml:space="preserve">Unificar el corte de los tramos horarios (11:00 en el Maestro y 11:30 en los Ejecutores) en todos los módulos.</w:t>
      </w:r>
    </w:p>
    <w:p>
      <w:pPr>
        <w:pStyle w:val="ListParagraph"/>
        <w:numPr>
          <w:ilvl w:val="0"/>
          <w:numId w:val="2"/>
        </w:numPr>
        <w:spacing w:after="60" w:line="276"/>
        <w:jc w:val="both"/>
      </w:pPr>
      <w:r>
        <w:t xml:space="preserve">Incorporar órdenes límite en los benchmarks y evaluar el efecto de distintos tamaños de meta-orden.</w:t>
      </w:r>
    </w:p>
    <w:p>
      <w:r>
        <w:br w:type="page"/>
      </w:r>
    </w:p>
    <w:p>
      <w:pPr>
        <w:pStyle w:val="Heading1"/>
      </w:pPr>
      <w:r>
        <w:t xml:space="preserve">Anexo A. Gestión del proyecto</w:t>
      </w:r>
    </w:p>
    <w:p>
      <w:pPr>
        <w:pStyle w:val="Heading2"/>
      </w:pPr>
      <w:r>
        <w:t xml:space="preserve">A.1 Calendario de sprints</w:t>
      </w:r>
    </w:p>
    <w:p>
      <w:pPr>
        <w:keepNext/>
        <w:spacing w:after="80" w:before="160"/>
        <w:jc w:val="left"/>
      </w:pPr>
      <w:r>
        <w:rPr>
          <w:b/>
          <w:bCs/>
          <w:color w:val="1E2761"/>
          <w:sz w:val="20"/>
          <w:szCs w:val="20"/>
        </w:rPr>
        <w:t xml:space="preserve">Tabla II-29. </w:t>
      </w:r>
      <w:r>
        <w:rPr>
          <w:color w:val="1E2761"/>
          <w:sz w:val="20"/>
          <w:szCs w:val="20"/>
        </w:rPr>
        <w:t xml:space="preserve">Calendario y estado de los sprints (metodología Scrum).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026"/>
        <w:gridCol w:w="1700"/>
      </w:tblGrid>
      <w:tr>
        <w:trPr>
          <w:cantSplit/>
          <w:tblHeader/>
        </w:trPr>
        <w:tc>
          <w:tcPr>
            <w:tcW w:type="dxa" w:w="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Sprint</w:t>
            </w:r>
          </w:p>
        </w:tc>
        <w:tc>
          <w:tcPr>
            <w:tcW w:type="dxa" w:w="24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Periodo</w:t>
            </w:r>
          </w:p>
        </w:tc>
        <w:tc>
          <w:tcPr>
            <w:tcW w:type="dxa" w:w="40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Foco</w:t>
            </w:r>
          </w:p>
        </w:tc>
        <w:tc>
          <w:tcPr>
            <w:tcW w:type="dxa" w:w="1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Estado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1</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17–28 ago 2026</w:t>
            </w:r>
          </w:p>
        </w:tc>
        <w:tc>
          <w:tcPr>
            <w:tcW w:type="dxa" w:w="4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Alistamiento: entorno, datos y esquemas de estado</w:t>
            </w:r>
          </w:p>
        </w:tc>
        <w:tc>
          <w:tcPr>
            <w:tcW w:type="dxa" w:w="170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spacing w:after="20"/>
              <w:jc w:val="center"/>
            </w:pPr>
            <w:r>
              <w:rPr>
                <w:b/>
                <w:bCs/>
                <w:sz w:val="19"/>
                <w:szCs w:val="19"/>
              </w:rPr>
              <w:t xml:space="preserve">COMPLETADO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2</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31 ago–11 sep</w:t>
            </w:r>
          </w:p>
        </w:tc>
        <w:tc>
          <w:tcPr>
            <w:tcW w:type="dxa" w:w="4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Pipeline de datos, PoC de ABIDES-Gym y arquitectura del entorno</w:t>
            </w:r>
          </w:p>
        </w:tc>
        <w:tc>
          <w:tcPr>
            <w:tcW w:type="dxa" w:w="170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spacing w:after="20"/>
              <w:jc w:val="center"/>
            </w:pPr>
            <w:r>
              <w:rPr>
                <w:b/>
                <w:bCs/>
                <w:sz w:val="19"/>
                <w:szCs w:val="19"/>
              </w:rPr>
              <w:t xml:space="preserve">COMPLETADO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3</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14–25 sep</w:t>
            </w:r>
          </w:p>
        </w:tc>
        <w:tc>
          <w:tcPr>
            <w:tcW w:type="dxa" w:w="4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Redes Actor-Crítico, calibración de Poisson, espacios Gymnasium</w:t>
            </w:r>
          </w:p>
        </w:tc>
        <w:tc>
          <w:tcPr>
            <w:tcW w:type="dxa" w:w="170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spacing w:after="20"/>
              <w:jc w:val="center"/>
            </w:pPr>
            <w:r>
              <w:rPr>
                <w:b/>
                <w:bCs/>
                <w:sz w:val="19"/>
                <w:szCs w:val="19"/>
              </w:rPr>
              <w:t xml:space="preserve">COMPLETADO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4</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28 sep–9 oct (cierre formal el 19 oct)</w:t>
            </w:r>
          </w:p>
        </w:tc>
        <w:tc>
          <w:tcPr>
            <w:tcW w:type="dxa" w:w="4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PPO, funciones de recompensa, calibración de rmsc04, validación del simulador</w:t>
            </w:r>
          </w:p>
        </w:tc>
        <w:tc>
          <w:tcPr>
            <w:tcW w:type="dxa" w:w="1700"/>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spacing w:after="20"/>
              <w:jc w:val="center"/>
            </w:pPr>
            <w:r>
              <w:rPr>
                <w:b/>
                <w:bCs/>
                <w:sz w:val="19"/>
                <w:szCs w:val="19"/>
              </w:rPr>
              <w:t xml:space="preserve">COMPLETADO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5</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12–23 oct</w:t>
            </w:r>
          </w:p>
        </w:tc>
        <w:tc>
          <w:tcPr>
            <w:tcW w:type="dxa" w:w="4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Integración CTDE, ciclo de entrenamiento, meta-órdenes (fuera de este informe)</w:t>
            </w:r>
          </w:p>
        </w:tc>
        <w:tc>
          <w:tcPr>
            <w:tcW w:type="dxa" w:w="1700"/>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spacing w:after="20"/>
              <w:jc w:val="center"/>
            </w:pPr>
            <w:r>
              <w:rPr>
                <w:b/>
                <w:bCs/>
                <w:sz w:val="19"/>
                <w:szCs w:val="19"/>
              </w:rPr>
              <w:t xml:space="preserve">EN CURSO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6</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26 oct–6 nov</w:t>
            </w:r>
          </w:p>
        </w:tc>
        <w:tc>
          <w:tcPr>
            <w:tcW w:type="dxa" w:w="4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Ajuste de hiperparámetros y corridas de evaluación</w:t>
            </w:r>
          </w:p>
        </w:tc>
        <w:tc>
          <w:tcPr>
            <w:tcW w:type="dxa" w:w="1700"/>
            <w:tcBorders>
              <w:top w:val="single" w:color="B8C2DC" w:sz="4"/>
              <w:left w:val="single" w:color="B8C2DC" w:sz="4"/>
              <w:bottom w:val="single" w:color="B8C2DC" w:sz="4"/>
              <w:right w:val="single" w:color="B8C2DC" w:sz="4"/>
            </w:tcBorders>
            <w:shd w:fill="F9DAD5" w:color="auto" w:val="clear"/>
            <w:tcMar>
              <w:top w:type="dxa" w:w="60"/>
              <w:left w:type="dxa" w:w="100"/>
              <w:bottom w:type="dxa" w:w="60"/>
              <w:right w:type="dxa" w:w="100"/>
            </w:tcMar>
            <w:vAlign w:val="center"/>
          </w:tcPr>
          <w:p>
            <w:pPr>
              <w:keepNext/>
              <w:spacing w:after="20"/>
              <w:jc w:val="center"/>
            </w:pPr>
            <w:r>
              <w:rPr>
                <w:b/>
                <w:bCs/>
                <w:sz w:val="19"/>
                <w:szCs w:val="19"/>
              </w:rPr>
              <w:t xml:space="preserve">PENDIENTE</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7</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9–20 nov</w:t>
            </w:r>
          </w:p>
        </w:tc>
        <w:tc>
          <w:tcPr>
            <w:tcW w:type="dxa" w:w="4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Evaluación estadística (90 corridas) y comparación</w:t>
            </w:r>
          </w:p>
        </w:tc>
        <w:tc>
          <w:tcPr>
            <w:tcW w:type="dxa" w:w="1700"/>
            <w:tcBorders>
              <w:top w:val="single" w:color="B8C2DC" w:sz="4"/>
              <w:left w:val="single" w:color="B8C2DC" w:sz="4"/>
              <w:bottom w:val="single" w:color="B8C2DC" w:sz="4"/>
              <w:right w:val="single" w:color="B8C2DC" w:sz="4"/>
            </w:tcBorders>
            <w:shd w:fill="F9DAD5" w:color="auto" w:val="clear"/>
            <w:tcMar>
              <w:top w:type="dxa" w:w="60"/>
              <w:left w:type="dxa" w:w="100"/>
              <w:bottom w:type="dxa" w:w="60"/>
              <w:right w:type="dxa" w:w="100"/>
            </w:tcMar>
            <w:vAlign w:val="center"/>
          </w:tcPr>
          <w:p>
            <w:pPr>
              <w:keepNext/>
              <w:spacing w:after="20"/>
              <w:jc w:val="center"/>
            </w:pPr>
            <w:r>
              <w:rPr>
                <w:b/>
                <w:bCs/>
                <w:sz w:val="19"/>
                <w:szCs w:val="19"/>
              </w:rPr>
              <w:t xml:space="preserve">PENDIENTE</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8</w:t>
            </w:r>
          </w:p>
        </w:tc>
        <w:tc>
          <w:tcPr>
            <w:tcW w:type="dxa" w:w="24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23 nov–4 dic</w:t>
            </w:r>
          </w:p>
        </w:tc>
        <w:tc>
          <w:tcPr>
            <w:tcW w:type="dxa" w:w="4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Redacción de capítulos de la tesis</w:t>
            </w:r>
          </w:p>
        </w:tc>
        <w:tc>
          <w:tcPr>
            <w:tcW w:type="dxa" w:w="1700"/>
            <w:tcBorders>
              <w:top w:val="single" w:color="B8C2DC" w:sz="4"/>
              <w:left w:val="single" w:color="B8C2DC" w:sz="4"/>
              <w:bottom w:val="single" w:color="B8C2DC" w:sz="4"/>
              <w:right w:val="single" w:color="B8C2DC" w:sz="4"/>
            </w:tcBorders>
            <w:shd w:fill="F9DAD5" w:color="auto" w:val="clear"/>
            <w:tcMar>
              <w:top w:type="dxa" w:w="60"/>
              <w:left w:type="dxa" w:w="100"/>
              <w:bottom w:type="dxa" w:w="60"/>
              <w:right w:type="dxa" w:w="100"/>
            </w:tcMar>
            <w:vAlign w:val="center"/>
          </w:tcPr>
          <w:p>
            <w:pPr>
              <w:keepNext/>
              <w:spacing w:after="20"/>
              <w:jc w:val="center"/>
            </w:pPr>
            <w:r>
              <w:rPr>
                <w:b/>
                <w:bCs/>
                <w:sz w:val="19"/>
                <w:szCs w:val="19"/>
              </w:rPr>
              <w:t xml:space="preserve">PENDIENTE</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9"/>
                <w:szCs w:val="19"/>
              </w:rPr>
              <w:t xml:space="preserve">9</w:t>
            </w:r>
          </w:p>
        </w:tc>
        <w:tc>
          <w:tcPr>
            <w:tcW w:type="dxa" w:w="24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Dic 2026 (por confirmar)</w:t>
            </w:r>
          </w:p>
        </w:tc>
        <w:tc>
          <w:tcPr>
            <w:tcW w:type="dxa" w:w="4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9"/>
                <w:szCs w:val="19"/>
              </w:rPr>
              <w:t xml:space="preserve">Conclusiones y defensa ante la comisión</w:t>
            </w:r>
          </w:p>
        </w:tc>
        <w:tc>
          <w:tcPr>
            <w:tcW w:type="dxa" w:w="1700"/>
            <w:tcBorders>
              <w:top w:val="single" w:color="B8C2DC" w:sz="4"/>
              <w:left w:val="single" w:color="B8C2DC" w:sz="4"/>
              <w:bottom w:val="single" w:color="B8C2DC" w:sz="4"/>
              <w:right w:val="single" w:color="B8C2DC" w:sz="4"/>
            </w:tcBorders>
            <w:shd w:fill="F9DAD5" w:color="auto" w:val="clear"/>
            <w:tcMar>
              <w:top w:type="dxa" w:w="60"/>
              <w:left w:type="dxa" w:w="100"/>
              <w:bottom w:type="dxa" w:w="60"/>
              <w:right w:type="dxa" w:w="100"/>
            </w:tcMar>
            <w:vAlign w:val="center"/>
          </w:tcPr>
          <w:p>
            <w:pPr>
              <w:keepNext w:val="false"/>
              <w:spacing w:after="20"/>
              <w:jc w:val="center"/>
            </w:pPr>
            <w:r>
              <w:rPr>
                <w:b/>
                <w:bCs/>
                <w:sz w:val="19"/>
                <w:szCs w:val="19"/>
              </w:rPr>
              <w:t xml:space="preserve">PENDIENTE</w:t>
            </w:r>
          </w:p>
        </w:tc>
      </w:tr>
    </w:tbl>
    <w:p>
      <w:pPr>
        <w:keepNext w:val="false"/>
        <w:spacing w:after="160" w:before="0" w:line="276"/>
        <w:jc w:val="both"/>
      </w:pPr>
      <w:r>
        <w:rPr>
          <w:sz w:val="18"/>
          <w:szCs w:val="18"/>
        </w:rPr>
        <w:t xml:space="preserve">La tarea 2.3.4 (benchmarks TWAP y VWAP), planificada para el sprint 5, se adelantó y está completa.</w:t>
      </w:r>
    </w:p>
    <w:p>
      <w:pPr>
        <w:pStyle w:val="Heading2"/>
      </w:pPr>
      <w:r>
        <w:t xml:space="preserve">A.2 Avance frente al plan</w:t>
      </w:r>
    </w:p>
    <w:p>
      <w:pPr>
        <w:keepNext w:val="false"/>
        <w:spacing w:after="120" w:before="0" w:line="276"/>
        <w:jc w:val="both"/>
      </w:pPr>
      <w:r>
        <w:t xml:space="preserve">El plan de Título II (sprints 3 al 9) suma 604 horas. Están cerradas </w:t>
      </w:r>
      <w:r>
        <w:rPr>
          <w:b/>
          <w:bCs/>
        </w:rPr>
        <w:t xml:space="preserve">216</w:t>
      </w:r>
      <w:r>
        <w:t xml:space="preserve">: el sprint 3 completo (104 horas), el sprint 4 completo (96 horas, de las cuales cuatro tareas quedaron hechas con límite demostrado) y la tarea 2.3.4 (16 horas), que se adelantó. Eso equivale a un avance de aproximadamente </w:t>
      </w:r>
      <w:r>
        <w:rPr>
          <w:b/>
          <w:bCs/>
        </w:rPr>
        <w:t xml:space="preserve">36 %</w:t>
      </w:r>
      <w:r>
        <w:t xml:space="preserve"> medido en horas de tareas cerradas. El tiempo transcurrido desde el inicio del sprint 3 es de unos 38 días sobre un total cercano a 95 (hasta mediados de diciembre), alrededor de 40 %. El avance acompaña el calendario: las horas del sprint 5, que termina el 23 de octubre, se sumarán al cierre de ese sprint.</w:t>
      </w:r>
    </w:p>
    <w:p>
      <w:pPr>
        <w:keepNext/>
        <w:spacing w:after="40" w:before="120"/>
        <w:jc w:val="center"/>
      </w:pPr>
      <w:r>
        <w:drawing>
          <wp:inline distT="0" distB="0" distL="0" distR="0">
            <wp:extent cx="4572000" cy="2152650"/>
            <wp:effectExtent t="0" r="0" b="0" l="0"/>
            <wp:docPr id="11" name="horas_sprint.png" descr="Horas planificadas por sprint y horas completadas al 22 de octubre de 2026." title="Horas planificadas por sprint y horas completadas al 22 de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152650"/>
                    </a:xfrm>
                    <a:prstGeom prst="rect">
                      <a:avLst/>
                    </a:prstGeom>
                  </pic:spPr>
                </pic:pic>
              </a:graphicData>
            </a:graphic>
          </wp:inline>
        </w:drawing>
      </w:r>
    </w:p>
    <w:p>
      <w:pPr>
        <w:spacing w:after="200" w:before="60"/>
        <w:jc w:val="center"/>
      </w:pPr>
      <w:r>
        <w:rPr>
          <w:b/>
          <w:bCs/>
          <w:color w:val="1E2761"/>
          <w:sz w:val="20"/>
          <w:szCs w:val="20"/>
        </w:rPr>
        <w:t xml:space="preserve">Figura II-10. </w:t>
      </w:r>
      <w:r>
        <w:rPr>
          <w:color w:val="1E2761"/>
          <w:sz w:val="20"/>
          <w:szCs w:val="20"/>
        </w:rPr>
        <w:t xml:space="preserve">Horas planificadas por sprint y horas completadas al 22 de octubre de 2026.</w:t>
      </w:r>
    </w:p>
    <w:p>
      <w:pPr>
        <w:pStyle w:val="Heading2"/>
      </w:pPr>
      <w:r>
        <w:t xml:space="preserve">A.3 Responsabilidades y contribuciones</w:t>
      </w:r>
    </w:p>
    <w:p>
      <w:pPr>
        <w:keepNext/>
        <w:spacing w:after="80" w:before="160"/>
        <w:jc w:val="left"/>
      </w:pPr>
      <w:r>
        <w:rPr>
          <w:b/>
          <w:bCs/>
          <w:color w:val="1E2761"/>
          <w:sz w:val="20"/>
          <w:szCs w:val="20"/>
        </w:rPr>
        <w:t xml:space="preserve">Tabla II-30. </w:t>
      </w:r>
      <w:r>
        <w:rPr>
          <w:color w:val="1E2761"/>
          <w:sz w:val="20"/>
          <w:szCs w:val="20"/>
        </w:rPr>
        <w:t xml:space="preserve">Distribución de las 604 horas del plan por responsable.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26"/>
      </w:tblGrid>
      <w:tr>
        <w:trPr>
          <w:cantSplit/>
          <w:tblHeader/>
        </w:trPr>
        <w:tc>
          <w:tcPr>
            <w:tcW w:type="dxa" w:w="27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Integrante</w:t>
            </w:r>
          </w:p>
        </w:tc>
        <w:tc>
          <w:tcPr>
            <w:tcW w:type="dxa" w:w="1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Horas</w:t>
            </w:r>
          </w:p>
        </w:tc>
        <w:tc>
          <w:tcPr>
            <w:tcW w:type="dxa" w:w="53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9"/>
                <w:szCs w:val="19"/>
              </w:rPr>
              <w:t xml:space="preserve">Áreas principales</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Mauricio Reynoso (MR)</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196</w:t>
            </w:r>
          </w:p>
        </w:tc>
        <w:tc>
          <w:tcPr>
            <w:tcW w:type="dxa" w:w="5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Redes Actor-Crítico, PPO (L_CLIP y GAE), recompensa del Maestro, integración CTDE y entrenamiento, análisis de sensibilidad.</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Benjamín Farias (BF)</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center"/>
            </w:pPr>
            <w:r>
              <w:rPr>
                <w:sz w:val="19"/>
                <w:szCs w:val="19"/>
              </w:rPr>
              <w:t xml:space="preserve">188</w:t>
            </w:r>
          </w:p>
        </w:tc>
        <w:tc>
          <w:tcPr>
            <w:tcW w:type="dxa" w:w="5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9"/>
                <w:szCs w:val="19"/>
              </w:rPr>
              <w:t xml:space="preserve">Pipeline de datos, calibración de Poisson y de rmsc04, recompensa de los Ejecutores, meta-órdenes, monitoreo y consolidación de resultados.</w:t>
            </w:r>
          </w:p>
        </w:tc>
      </w:tr>
      <w:tr>
        <w:trPr>
          <w:cantSplit/>
        </w:trPr>
        <w:tc>
          <w:tcPr>
            <w:tcW w:type="dxa" w:w="27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Paolo Sepúlveda (PS)</w:t>
            </w:r>
          </w:p>
        </w:tc>
        <w:tc>
          <w:tcPr>
            <w:tcW w:type="dxa" w:w="1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center"/>
            </w:pPr>
            <w:r>
              <w:rPr>
                <w:sz w:val="19"/>
                <w:szCs w:val="19"/>
              </w:rPr>
              <w:t xml:space="preserve">196</w:t>
            </w:r>
          </w:p>
        </w:tc>
        <w:tc>
          <w:tcPr>
            <w:tcW w:type="dxa" w:w="53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9"/>
                <w:szCs w:val="19"/>
              </w:rPr>
              <w:t xml:space="preserve">Espacios Gymnasium, validación del simulador, benchmarks, evaluación estadística y redacción de análisis y conclusiones.</w:t>
            </w:r>
          </w:p>
        </w:tc>
      </w:tr>
      <w:tr>
        <w:trPr>
          <w:cantSplit/>
        </w:trPr>
        <w:tc>
          <w:tcPr>
            <w:tcW w:type="dxa" w:w="27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9"/>
                <w:szCs w:val="19"/>
              </w:rPr>
              <w:t xml:space="preserve">Equipo</w:t>
            </w:r>
          </w:p>
        </w:tc>
        <w:tc>
          <w:tcPr>
            <w:tcW w:type="dxa" w:w="1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9"/>
                <w:szCs w:val="19"/>
              </w:rPr>
              <w:t xml:space="preserve">24</w:t>
            </w:r>
          </w:p>
        </w:tc>
        <w:tc>
          <w:tcPr>
            <w:tcW w:type="dxa" w:w="53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9"/>
                <w:szCs w:val="19"/>
              </w:rPr>
              <w:t xml:space="preserve">Tablas y figuras comparativas, defensa.</w:t>
            </w:r>
          </w:p>
        </w:tc>
      </w:tr>
    </w:tbl>
    <w:p>
      <w:pPr>
        <w:spacing w:after="100"/>
      </w:pPr>
    </w:p>
    <w:p>
      <w:pPr>
        <w:keepNext/>
        <w:spacing w:after="80" w:before="160"/>
        <w:jc w:val="left"/>
      </w:pPr>
      <w:r>
        <w:rPr>
          <w:b/>
          <w:bCs/>
          <w:color w:val="1E2761"/>
          <w:sz w:val="20"/>
          <w:szCs w:val="20"/>
        </w:rPr>
        <w:t xml:space="preserve">Tabla II-31. </w:t>
      </w:r>
      <w:r>
        <w:rPr>
          <w:color w:val="1E2761"/>
          <w:sz w:val="20"/>
          <w:szCs w:val="20"/>
        </w:rPr>
        <w:t xml:space="preserve">Contribuciones por integrante en los sprints 1 a 4 (autoría según el registro de ramas y pull requests integrados a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Integrante</w:t>
            </w:r>
          </w:p>
        </w:tc>
        <w:tc>
          <w:tcPr>
            <w:tcW w:type="dxa" w:w="68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Contribuciones</w:t>
            </w:r>
          </w:p>
        </w:tc>
      </w:tr>
      <w:tr>
        <w:trPr>
          <w:cantSplit/>
        </w:trPr>
        <w:tc>
          <w:tcPr>
            <w:tcW w:type="dxa" w:w="2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b/>
                <w:bCs/>
                <w:sz w:val="18"/>
                <w:szCs w:val="18"/>
              </w:rPr>
              <w:t xml:space="preserve">Mauricio Reynoso (MR)</w:t>
            </w:r>
          </w:p>
        </w:tc>
        <w:tc>
          <w:tcPr>
            <w:tcW w:type="dxa" w:w="6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spacing w:after="20"/>
              <w:jc w:val="left"/>
            </w:pPr>
            <w:r>
              <w:rPr>
                <w:sz w:val="18"/>
                <w:szCs w:val="18"/>
              </w:rPr>
              <w:t xml:space="preserve">Entorno y repositorio (PR #1); guía de Colab y seguridad de tokens (PR #11 y #12); arreglo de dependencias y prueba de concepto de ABIDES-Gym (PR #13 y la integración de la configuración de ABIDES); primera red Actor-Crítico (2.1.1); implementación del PPO con L_CLIP y GAE y calibración de λ = 0,05 (2.2.1 y 2.2.2, PR #20); formalización del carácter provisional de λ y semillas reproducibles (PR #33).</w:t>
            </w:r>
          </w:p>
        </w:tc>
      </w:tr>
      <w:tr>
        <w:trPr>
          <w:cantSplit/>
        </w:trPr>
        <w:tc>
          <w:tcPr>
            <w:tcW w:type="dxa" w:w="22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b/>
                <w:bCs/>
                <w:sz w:val="18"/>
                <w:szCs w:val="18"/>
              </w:rPr>
              <w:t xml:space="preserve">Benjamín Farias (BF)</w:t>
            </w:r>
          </w:p>
        </w:tc>
        <w:tc>
          <w:tcPr>
            <w:tcW w:type="dxa" w:w="68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spacing w:after="20"/>
              <w:jc w:val="left"/>
            </w:pPr>
            <w:r>
              <w:rPr>
                <w:sz w:val="18"/>
                <w:szCs w:val="18"/>
              </w:rPr>
              <w:t xml:space="preserve">Descarga de datos OHLCV del IPSA (PR #2); pipeline de limpieza y variables del Maestro (PR #4); calibración de Poisson por tramos y su robustez (PR #9 y #10, 2.1.3); calibración de rmsc04 con datos del IPSA y su validación con 30 semillas (PR #22, #23 y #26, 2.2.4); recompensa de los Ejecutores con σ² causal normalizada (PR #25, 2.2.3); ratificación de las redes de los Ejecutores y revisión formal del cierre del sprint 4, con la grilla de actividad baja (PR #32).</w:t>
            </w:r>
          </w:p>
        </w:tc>
      </w:tr>
      <w:tr>
        <w:trPr>
          <w:cantSplit/>
        </w:trPr>
        <w:tc>
          <w:tcPr>
            <w:tcW w:type="dxa" w:w="22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b/>
                <w:bCs/>
                <w:sz w:val="18"/>
                <w:szCs w:val="18"/>
              </w:rPr>
              <w:t xml:space="preserve">Paolo Sepúlveda (PS)</w:t>
            </w:r>
          </w:p>
        </w:tc>
        <w:tc>
          <w:tcPr>
            <w:tcW w:type="dxa" w:w="68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Vectores de estado S_M y S_E (1.1.4); arquitectura del entorno de simulación (1.2.5, PR #3); espacios Gymnasium y simulador de Poisson de libro de órdenes (2.1.4, PR #6); sistema de registro y análisis de entrenamiento (PR #8); base de validación del simulador (PR #18); benchmarks TWAP y VWAP (2.3.4, PR #19); validación formal con 30 semillas (2.2.5), fase 2 de la elección de β, análisis de la distribución de R_E, sondeo de megashocks y fábrica de redes de los Ejecutores (2.1.2) en el cierre del sprint 4 (PR #27); calibración y validación de COPEC y ECL y cierre de los sprints 1 a 4 (PR #36).</w:t>
            </w:r>
          </w:p>
        </w:tc>
      </w:tr>
    </w:tbl>
    <w:p>
      <w:pPr>
        <w:spacing w:after="100"/>
      </w:pPr>
    </w:p>
    <w:p>
      <w:pPr>
        <w:keepNext w:val="false"/>
        <w:spacing w:after="120" w:before="0" w:line="276"/>
        <w:jc w:val="both"/>
      </w:pPr>
      <w:r>
        <w:t xml:space="preserve">El inventario completo de ramas y pull requests (25 integraciones a main entre agosto y octubre de 2026, con archivos y líneas modificadas) está en el documento </w:t>
      </w:r>
      <w:r>
        <w:rPr>
          <w:i/>
          <w:iCs/>
        </w:rPr>
        <w:t xml:space="preserve">Registro histórico de cambios y ramas en la rama principal (Sprints 1 a 4)</w:t>
      </w:r>
      <w:r>
        <w:t xml:space="preserve">, elaborado por Mauricio Reynoso. El equipo trabajó con ramas temáticas y revisión de pull requests antes de integrar a main.</w:t>
      </w:r>
    </w:p>
    <w:p>
      <w:pPr>
        <w:pStyle w:val="Heading2"/>
      </w:pPr>
      <w:r>
        <w:t xml:space="preserve">A.4 Estado de las tareas de los sprints 1 al 4</w:t>
      </w:r>
    </w:p>
    <w:p>
      <w:pPr>
        <w:keepNext/>
        <w:spacing w:after="80" w:before="160"/>
        <w:jc w:val="left"/>
      </w:pPr>
      <w:r>
        <w:rPr>
          <w:b/>
          <w:bCs/>
          <w:color w:val="1E2761"/>
          <w:sz w:val="20"/>
          <w:szCs w:val="20"/>
        </w:rPr>
        <w:t xml:space="preserve">Tabla II-32. </w:t>
      </w:r>
      <w:r>
        <w:rPr>
          <w:color w:val="1E2761"/>
          <w:sz w:val="20"/>
          <w:szCs w:val="20"/>
        </w:rPr>
        <w:t xml:space="preserve">Tareas de los sprints 1 al 4 y su estado, según el acta de cierre (19 de octubre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300"/>
        <w:gridCol w:w="2226"/>
      </w:tblGrid>
      <w:tr>
        <w:trPr>
          <w:cantSplit/>
          <w:tblHeader/>
        </w:trPr>
        <w:tc>
          <w:tcPr>
            <w:tcW w:type="dxa" w:w="9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ID</w:t>
            </w:r>
          </w:p>
        </w:tc>
        <w:tc>
          <w:tcPr>
            <w:tcW w:type="dxa" w:w="46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Tarea</w:t>
            </w:r>
          </w:p>
        </w:tc>
        <w:tc>
          <w:tcPr>
            <w:tcW w:type="dxa" w:w="13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Resp.</w:t>
            </w:r>
          </w:p>
        </w:tc>
        <w:tc>
          <w:tcPr>
            <w:tcW w:type="dxa" w:w="22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Estado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1.1.1</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Planificación y backlog</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Equipo</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1.1.2</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Entorno y repositorio</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MR</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1.1.3</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Descarga de datos OHLCV</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BF</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1.1.4</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Vectores de estado S_M y S_E</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PS</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1.1.5</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Sprint Review</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Equipo</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1.2.1</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Limpieza de datos</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BF</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1.2.2</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Variables del Maestro (S_M)</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BF</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1.2.3</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Prueba de concepto de ABIDES-Gym</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MR</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1.2.4</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Dependencias y entorno</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MR</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1.2.5</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Arquitectura del entorno</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PS</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2.1.1</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Red Actor-Crítico del Maestro</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MR</w:t>
            </w:r>
          </w:p>
        </w:tc>
        <w:tc>
          <w:tcPr>
            <w:tcW w:type="dxa" w:w="22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2.1.2</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Redes de los Ejecutores</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BF</w:t>
            </w:r>
          </w:p>
        </w:tc>
        <w:tc>
          <w:tcPr>
            <w:tcW w:type="dxa" w:w="22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2.1.3</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Calibración de Poisson del libro de órdenes</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PS / BF</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2.1.4</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Formalización de espacios Gymnasium</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PS</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2.2.1</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Implementación de L_CLIP y GAE</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MR</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2.2.2</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Función de recompensa del Maestro</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MR</w:t>
            </w:r>
          </w:p>
        </w:tc>
        <w:tc>
          <w:tcPr>
            <w:tcW w:type="dxa" w:w="22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2.2.3</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Función de recompensa de los Ejecutores</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BF</w:t>
            </w:r>
          </w:p>
        </w:tc>
        <w:tc>
          <w:tcPr>
            <w:tcW w:type="dxa" w:w="22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2.2.4</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Calibración de rmsc04 con el IPSA</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BF</w:t>
            </w:r>
          </w:p>
        </w:tc>
        <w:tc>
          <w:tcPr>
            <w:tcW w:type="dxa" w:w="22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r>
      <w:tr>
        <w:trPr>
          <w:cantSplit/>
        </w:trPr>
        <w:tc>
          <w:tcPr>
            <w:tcW w:type="dxa" w:w="9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2.2.5</w:t>
            </w:r>
          </w:p>
        </w:tc>
        <w:tc>
          <w:tcPr>
            <w:tcW w:type="dxa" w:w="46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Validación estadística del simulador</w:t>
            </w:r>
          </w:p>
        </w:tc>
        <w:tc>
          <w:tcPr>
            <w:tcW w:type="dxa" w:w="13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center"/>
            </w:pPr>
            <w:r>
              <w:rPr>
                <w:sz w:val="18"/>
                <w:szCs w:val="18"/>
              </w:rPr>
              <w:t xml:space="preserve">PS</w:t>
            </w:r>
          </w:p>
        </w:tc>
        <w:tc>
          <w:tcPr>
            <w:tcW w:type="dxa" w:w="2226"/>
            <w:tcBorders>
              <w:top w:val="single" w:color="B8C2DC" w:sz="4"/>
              <w:left w:val="single" w:color="B8C2DC" w:sz="4"/>
              <w:bottom w:val="single" w:color="B8C2DC" w:sz="4"/>
              <w:right w:val="single" w:color="B8C2DC" w:sz="4"/>
            </w:tcBorders>
            <w:shd w:fill="FFF3D1"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 CON LÍMITE</w:t>
            </w:r>
          </w:p>
        </w:tc>
      </w:tr>
      <w:tr>
        <w:trPr>
          <w:cantSplit/>
        </w:trPr>
        <w:tc>
          <w:tcPr>
            <w:tcW w:type="dxa" w:w="9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2.3.4</w:t>
            </w:r>
          </w:p>
        </w:tc>
        <w:tc>
          <w:tcPr>
            <w:tcW w:type="dxa" w:w="46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Benchmarks TWAP y VWAP (adelantada del sprint 5)</w:t>
            </w:r>
          </w:p>
        </w:tc>
        <w:tc>
          <w:tcPr>
            <w:tcW w:type="dxa" w:w="13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center"/>
            </w:pPr>
            <w:r>
              <w:rPr>
                <w:sz w:val="18"/>
                <w:szCs w:val="18"/>
              </w:rPr>
              <w:t xml:space="preserve">PS</w:t>
            </w:r>
          </w:p>
        </w:tc>
        <w:tc>
          <w:tcPr>
            <w:tcW w:type="dxa" w:w="2226"/>
            <w:tcBorders>
              <w:top w:val="single" w:color="B8C2DC" w:sz="4"/>
              <w:left w:val="single" w:color="B8C2DC" w:sz="4"/>
              <w:bottom w:val="single" w:color="B8C2DC" w:sz="4"/>
              <w:right w:val="single" w:color="B8C2DC" w:sz="4"/>
            </w:tcBorders>
            <w:shd w:fill="DDF1E0" w:color="auto" w:val="clear"/>
            <w:tcMar>
              <w:top w:type="dxa" w:w="60"/>
              <w:left w:type="dxa" w:w="100"/>
              <w:bottom w:type="dxa" w:w="60"/>
              <w:right w:type="dxa" w:w="100"/>
            </w:tcMar>
            <w:vAlign w:val="center"/>
          </w:tcPr>
          <w:p>
            <w:pPr>
              <w:keepNext w:val="false"/>
              <w:spacing w:after="20"/>
              <w:jc w:val="center"/>
            </w:pPr>
            <w:r>
              <w:rPr>
                <w:b/>
                <w:bCs/>
                <w:sz w:val="18"/>
                <w:szCs w:val="18"/>
              </w:rPr>
              <w:t xml:space="preserve">HECHO</w:t>
            </w:r>
          </w:p>
        </w:tc>
      </w:tr>
    </w:tbl>
    <w:p>
      <w:pPr>
        <w:keepNext w:val="false"/>
        <w:spacing w:after="160" w:before="100" w:line="276"/>
        <w:jc w:val="both"/>
      </w:pPr>
      <w:r>
        <w:rPr>
          <w:b/>
          <w:bCs/>
          <w:sz w:val="18"/>
          <w:szCs w:val="18"/>
        </w:rPr>
        <w:t xml:space="preserve">Hecho con límite</w:t>
      </w:r>
      <w:r>
        <w:rPr>
          <w:sz w:val="18"/>
          <w:szCs w:val="18"/>
        </w:rPr>
        <w:t xml:space="preserve"> significa que la tarea se ejecutó y se midió, pero el resultado no alcanza el criterio del plan o hay una desviación de diseño; el límite está escrito con su causa y con la fecha de revisión. Los límites son: 2.1.1 y 2.1.2 (arquitectura distinta de la especificación del Excel: 256 neuronas y una cabeza discreta; desviaciones documentadas y ratificada la de los Ejecutores), 2.2.2 y 2.2.3 (λ y β provisionales), 2.2.4 (KS rechaza y volumen alto) y 2.2.5 (simulador no válido según el criterio literal).</w:t>
      </w:r>
    </w:p>
    <w:p>
      <w:pPr>
        <w:spacing w:after="100"/>
      </w:pPr>
    </w:p>
    <w:p>
      <w:pPr>
        <w:pStyle w:val="Heading2"/>
      </w:pPr>
      <w:r>
        <w:t xml:space="preserve">A.5 Uso de herramientas de apoyo</w:t>
      </w:r>
    </w:p>
    <w:p>
      <w:pPr>
        <w:keepNext w:val="false"/>
        <w:spacing w:after="120" w:before="0" w:line="276"/>
        <w:jc w:val="both"/>
      </w:pPr>
      <w:r>
        <w:t xml:space="preserve">El equipo utilizó Claude Code (Anthropic) como asistente de programación, análisis y redacción. Los documentos del repositorio lo declaran en su encabezado y quedan sujetos a la revisión de quien corresponde; las cifras de este informe provienen de archivos versionados en el repositorio y se contrastaron contra ellos antes de entregar.</w:t>
      </w:r>
    </w:p>
    <w:p>
      <w:r>
        <w:br w:type="page"/>
      </w:r>
    </w:p>
    <w:p>
      <w:pPr>
        <w:pStyle w:val="Heading1"/>
      </w:pPr>
      <w:r>
        <w:t xml:space="preserve">Anexo B. Riesgos y limitaciones</w:t>
      </w:r>
    </w:p>
    <w:p>
      <w:pPr>
        <w:keepNext/>
        <w:spacing w:after="80" w:before="160"/>
        <w:jc w:val="left"/>
      </w:pPr>
      <w:r>
        <w:rPr>
          <w:b/>
          <w:bCs/>
          <w:color w:val="1E2761"/>
          <w:sz w:val="20"/>
          <w:szCs w:val="20"/>
        </w:rPr>
        <w:t xml:space="preserve">Tabla II-33. </w:t>
      </w:r>
      <w:r>
        <w:rPr>
          <w:color w:val="1E2761"/>
          <w:sz w:val="20"/>
          <w:szCs w:val="20"/>
        </w:rPr>
        <w:t xml:space="preserve">Riesgos identificados y su manejo.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426"/>
      </w:tblGrid>
      <w:tr>
        <w:trPr>
          <w:cantSplit/>
          <w:tblHeader/>
        </w:trPr>
        <w:tc>
          <w:tcPr>
            <w:tcW w:type="dxa" w:w="31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Riesgo o limitación</w:t>
            </w:r>
          </w:p>
        </w:tc>
        <w:tc>
          <w:tcPr>
            <w:tcW w:type="dxa" w:w="25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Efecto</w:t>
            </w:r>
          </w:p>
        </w:tc>
        <w:tc>
          <w:tcPr>
            <w:tcW w:type="dxa" w:w="34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Manejo</w:t>
            </w:r>
          </w:p>
        </w:tc>
      </w:tr>
      <w:tr>
        <w:trPr>
          <w:cantSplit/>
        </w:trPr>
        <w:tc>
          <w:tcPr>
            <w:tcW w:type="dxa" w:w="3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ABIDES-Gym está archivado (junio de 2025) y exige versiones antiguas de Python y librerías.</w:t>
            </w:r>
          </w:p>
        </w:tc>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Instalación frágil y sin soporte.</w:t>
            </w:r>
          </w:p>
        </w:tc>
        <w:tc>
          <w:tcPr>
            <w:tcW w:type="dxa" w:w="3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Entorno aislado con Python 3.9, receta de instalación documentada y lista de versiones fijadas (</w:t>
            </w:r>
            <w:r>
              <w:rPr>
                <w:rFonts w:ascii="Courier New" w:cs="Courier New" w:eastAsia="Courier New" w:hAnsi="Courier New"/>
                <w:sz w:val="16"/>
                <w:szCs w:val="16"/>
              </w:rPr>
              <w:t xml:space="preserve">requirements-locked.txt</w:t>
            </w:r>
            <w:r>
              <w:rPr>
                <w:sz w:val="18"/>
                <w:szCs w:val="18"/>
              </w:rPr>
              <w:t xml:space="preserve">), y simulador de Poisson como alternativa liviana.</w:t>
            </w:r>
          </w:p>
        </w:tc>
      </w:tr>
      <w:tr>
        <w:trPr>
          <w:cantSplit/>
        </w:trPr>
        <w:tc>
          <w:tcPr>
            <w:tcW w:type="dxa" w:w="3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Los datos no incluyen Nivel 2.</w:t>
            </w:r>
          </w:p>
        </w:tc>
        <w:tc>
          <w:tcPr>
            <w:tcW w:type="dxa" w:w="2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Spread, profundidad y cancelaciones son aproximaciones.</w:t>
            </w:r>
          </w:p>
        </w:tc>
        <w:tc>
          <w:tcPr>
            <w:tcW w:type="dxa" w:w="3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ABIDES-Gym provee un libro simulado; se valida escala y patrón y no la magnitud del spread; acceso institucional a Nivel 2 como opción.</w:t>
            </w:r>
          </w:p>
        </w:tc>
      </w:tr>
      <w:tr>
        <w:trPr>
          <w:cantSplit/>
        </w:trPr>
        <w:tc>
          <w:tcPr>
            <w:tcW w:type="dxa" w:w="3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Ventana de 60 días de la fuente y transición del IPSA a MSCI (1 de septiembre de 2026).</w:t>
            </w:r>
          </w:p>
        </w:tc>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Los parámetros pueden quedar desactualizados.</w:t>
            </w:r>
          </w:p>
        </w:tc>
        <w:tc>
          <w:tcPr>
            <w:tcW w:type="dxa" w:w="3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Recalibrar con un snapshot posterior antes de la evaluación final.</w:t>
            </w:r>
          </w:p>
        </w:tc>
      </w:tr>
      <w:tr>
        <w:trPr>
          <w:cantSplit/>
        </w:trPr>
        <w:tc>
          <w:tcPr>
            <w:tcW w:type="dxa" w:w="3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El simulador calibrado no pasa el criterio literal de validación (KS rechaza).</w:t>
            </w:r>
          </w:p>
        </w:tc>
        <w:tc>
          <w:tcPr>
            <w:tcW w:type="dxa" w:w="2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Las diferencias entre estrategias podrían depender de rasgos del simulador.</w:t>
            </w:r>
          </w:p>
        </w:tc>
        <w:tc>
          <w:tcPr>
            <w:tcW w:type="dxa" w:w="3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Reportar el límite con su causa; comparar siempre estrategias bajo las mismas condiciones simuladas y evaluar con 30 y 90 corridas.</w:t>
            </w:r>
          </w:p>
        </w:tc>
      </w:tr>
      <w:tr>
        <w:trPr>
          <w:cantSplit/>
        </w:trPr>
        <w:tc>
          <w:tcPr>
            <w:tcW w:type="dxa" w:w="3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Spread simulado muy bajo y volumen alto en la apertura.</w:t>
            </w:r>
          </w:p>
        </w:tc>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El Implementation Shortfall absoluto queda subestimado.</w:t>
            </w:r>
          </w:p>
        </w:tc>
        <w:tc>
          <w:tcPr>
            <w:tcW w:type="dxa" w:w="3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Interpretar los resultados como relativos entre estrategias; límites declarados en la calibración.</w:t>
            </w:r>
          </w:p>
        </w:tc>
      </w:tr>
      <w:tr>
        <w:trPr>
          <w:cantSplit/>
        </w:trPr>
        <w:tc>
          <w:tcPr>
            <w:tcW w:type="dxa" w:w="3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Coeficientes λ y β provisionales; β solo calibrado en la apertura y con una semilla de red.</w:t>
            </w:r>
          </w:p>
        </w:tc>
        <w:tc>
          <w:tcPr>
            <w:tcW w:type="dxa" w:w="2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Las recompensas pueden requerir ajuste al entrenar.</w:t>
            </w:r>
          </w:p>
        </w:tc>
        <w:tc>
          <w:tcPr>
            <w:tcW w:type="dxa" w:w="3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Regla de vigilancia de D3 (cumplimiento menor que 95 %); calibrar β en media jornada y cierre y revalidar λ en los sprints 5 y 6.</w:t>
            </w:r>
          </w:p>
        </w:tc>
      </w:tr>
      <w:tr>
        <w:trPr>
          <w:cantSplit/>
        </w:trPr>
        <w:tc>
          <w:tcPr>
            <w:tcW w:type="dxa" w:w="3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Con riesgo cobrado solo sobre lo ejecutado, no operar sale gratis.</w:t>
            </w:r>
          </w:p>
        </w:tc>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La red puede aprender a no ejecutar.</w:t>
            </w:r>
          </w:p>
        </w:tc>
        <w:tc>
          <w:tcPr>
            <w:tcW w:type="dxa" w:w="3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Opción de riesgo sobre lo pendiente ya implementada y lista para activar si se dispara la regla.</w:t>
            </w:r>
          </w:p>
        </w:tc>
      </w:tr>
      <w:tr>
        <w:trPr>
          <w:cantSplit/>
        </w:trPr>
        <w:tc>
          <w:tcPr>
            <w:tcW w:type="dxa" w:w="3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Cobertura heterogénea: 15 de 30 tickers son de tier B.</w:t>
            </w:r>
          </w:p>
        </w:tc>
        <w:tc>
          <w:tcPr>
            <w:tcW w:type="dxa" w:w="2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Parámetros de baja confianza en esos tickers.</w:t>
            </w:r>
          </w:p>
        </w:tc>
        <w:tc>
          <w:tcPr>
            <w:tcW w:type="dxa" w:w="3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Usar tickers de tier A y los tres activos calibrados (FALABELLA, COPEC y ECL).</w:t>
            </w:r>
          </w:p>
        </w:tc>
      </w:tr>
      <w:tr>
        <w:trPr>
          <w:cantSplit/>
        </w:trPr>
        <w:tc>
          <w:tcPr>
            <w:tcW w:type="dxa" w:w="31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Dependencia entre tareas de sprints consecutivos.</w:t>
            </w:r>
          </w:p>
        </w:tc>
        <w:tc>
          <w:tcPr>
            <w:tcW w:type="dxa" w:w="25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Un atraso en un sprint retrasa el siguiente.</w:t>
            </w:r>
          </w:p>
        </w:tc>
        <w:tc>
          <w:tcPr>
            <w:tcW w:type="dxa" w:w="34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Seguimiento semanal, decisiones con plazo y regla por defecto, y adelanto de tareas independientes (como los benchmarks).</w:t>
            </w:r>
          </w:p>
        </w:tc>
      </w:tr>
      <w:tr>
        <w:trPr>
          <w:cantSplit/>
        </w:trPr>
        <w:tc>
          <w:tcPr>
            <w:tcW w:type="dxa" w:w="31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Costo computacional de ABIDES-Gym (el tramo de cierre es el más lento: unas 2 horas por valor de β).</w:t>
            </w:r>
          </w:p>
        </w:tc>
        <w:tc>
          <w:tcPr>
            <w:tcW w:type="dxa" w:w="25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Limita el número de corridas posibles (30 y 90).</w:t>
            </w:r>
          </w:p>
        </w:tc>
        <w:tc>
          <w:tcPr>
            <w:tcW w:type="dxa" w:w="34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Ejecución en Google Colab con corridas reanudables y ajuste del número de episodios según el tiempo disponible.</w:t>
            </w:r>
          </w:p>
        </w:tc>
      </w:tr>
    </w:tbl>
    <w:p>
      <w:pPr>
        <w:spacing w:after="100"/>
      </w:pPr>
    </w:p>
    <w:p>
      <w:pPr>
        <w:pStyle w:val="Heading1"/>
      </w:pPr>
      <w:r>
        <w:t xml:space="preserve">Anexo C. Glosario</w:t>
      </w:r>
    </w:p>
    <w:p>
      <w:pPr>
        <w:keepNext/>
        <w:spacing w:after="80" w:before="160"/>
        <w:jc w:val="left"/>
      </w:pPr>
      <w:r>
        <w:rPr>
          <w:b/>
          <w:bCs/>
          <w:color w:val="1E2761"/>
          <w:sz w:val="20"/>
          <w:szCs w:val="20"/>
        </w:rPr>
        <w:t xml:space="preserve">Tabla II-34. </w:t>
      </w:r>
      <w:r>
        <w:rPr>
          <w:color w:val="1E2761"/>
          <w:sz w:val="20"/>
          <w:szCs w:val="20"/>
        </w:rPr>
        <w:t xml:space="preserve">Términos usados en este informe.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Término</w:t>
            </w:r>
          </w:p>
        </w:tc>
        <w:tc>
          <w:tcPr>
            <w:tcW w:type="dxa" w:w="6026"/>
            <w:tcBorders>
              <w:top w:val="single" w:color="B8C2DC" w:sz="4"/>
              <w:left w:val="single" w:color="B8C2DC" w:sz="4"/>
              <w:bottom w:val="single" w:color="B8C2DC" w:sz="4"/>
              <w:right w:val="single" w:color="B8C2DC" w:sz="4"/>
            </w:tcBorders>
            <w:shd w:fill="1E2761" w:color="auto" w:val="clear"/>
            <w:tcMar>
              <w:top w:type="dxa" w:w="60"/>
              <w:left w:type="dxa" w:w="100"/>
              <w:bottom w:type="dxa" w:w="60"/>
              <w:right w:type="dxa" w:w="100"/>
            </w:tcMar>
            <w:vAlign w:val="center"/>
          </w:tcPr>
          <w:p>
            <w:pPr>
              <w:keepNext/>
              <w:spacing w:after="20"/>
              <w:jc w:val="left"/>
            </w:pPr>
            <w:r>
              <w:rPr>
                <w:b/>
                <w:bCs/>
                <w:color w:val="FFFFFF"/>
                <w:sz w:val="18"/>
                <w:szCs w:val="18"/>
              </w:rPr>
              <w:t xml:space="preserve">Significado</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IPSA</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Índice de las 30 acciones más transadas de la Bolsa de Santiago.</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Libro de órdenes (LOB)</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Lista de órdenes de compra y venta pendientes, ordenadas por precio.</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Spread</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Diferencia entre el mejor precio de venta y el mejor de compra; costo inmediato de operar.</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Slippage</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Diferencia entre el precio esperado de una orden y el que realmente se paga al ejecutarla.</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Implementation Shortfall (IS)</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Costo total de ejecutar frente al precio de referencia al momento de decidir: (precio promedio − precio de referencia) × cantidad.</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Meta-orden</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Orden grande que se fracciona en varias más pequeñas a lo largo del día.</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Tramo</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Franja horaria de la jornada (apertura, media jornada, cierre).</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TWAP / VWAP</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Estrategias clásicas: reparto uniforme en el tiempo / reparto proporcional al volumen histórico.</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Aprendizaje por refuerzo</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Método en que un agente aprende probando acciones y recibiendo recompensas.</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PPO</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Proximal Policy Optimization: algoritmo de aprendizaje por refuerzo que limita cuánto cambia la política en cada actualización.</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Actor-Crítico</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Red con dos salidas: el actor elige acciones y el crítico estima el valor de cada estado.</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GAE</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Estimación generalizada de ventaja: forma de calcular cuánto mejor fue una acción que lo esperado.</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CTDE</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Entrenamiento centralizado con ejecución descentralizada: los agentes comparten información al entrenarse y actúan solos después.</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Gymnasium</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Librería estándar de Python para definir entornos de aprendizaje por refuerzo.</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ABIDES-Gym</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Simulador de mercado con libro de órdenes, desarrollado por JP Morgan, con interfaz tipo Gym.</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Proceso de Poisson</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Modelo de llegadas aleatorias a tasa media constante; aquí describe la llegada de órdenes.</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OBI</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Order Book Imbalance: desbalance entre el volumen de compra y de venta del libro.</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Winsorización</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Limitar los valores extremos a un percentil para que no distorsionen un promedio.</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Snapshot</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Descarga de datos fechada, que fija la ventana de tiempo analizada.</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Test de Kolmogorov–Smirnov (KS)</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Prueba que compara si dos muestras provienen de la misma distribución.</w:t>
            </w:r>
          </w:p>
        </w:tc>
      </w:tr>
      <w:tr>
        <w:trPr>
          <w:cantSplit/>
        </w:trPr>
        <w:tc>
          <w:tcPr>
            <w:tcW w:type="dxa" w:w="3000"/>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Wilcoxon, Mann–Whitney, Kruskal–Wallis</w:t>
            </w:r>
          </w:p>
        </w:tc>
        <w:tc>
          <w:tcPr>
            <w:tcW w:type="dxa" w:w="6026"/>
            <w:tcBorders>
              <w:top w:val="single" w:color="B8C2DC" w:sz="4"/>
              <w:left w:val="single" w:color="B8C2DC" w:sz="4"/>
              <w:bottom w:val="single" w:color="B8C2DC" w:sz="4"/>
              <w:right w:val="single" w:color="B8C2DC" w:sz="4"/>
            </w:tcBorders>
            <w:tcMar>
              <w:top w:type="dxa" w:w="60"/>
              <w:left w:type="dxa" w:w="100"/>
              <w:bottom w:type="dxa" w:w="60"/>
              <w:right w:type="dxa" w:w="100"/>
            </w:tcMar>
            <w:vAlign w:val="center"/>
          </w:tcPr>
          <w:p>
            <w:pPr>
              <w:keepNext w:val="false"/>
              <w:spacing w:after="20"/>
              <w:jc w:val="left"/>
            </w:pPr>
            <w:r>
              <w:rPr>
                <w:sz w:val="18"/>
                <w:szCs w:val="18"/>
              </w:rPr>
              <w:t xml:space="preserve">Pruebas estadísticas no paramétricas: muestras pareadas, dos muestras independientes y tres o más grupos, respectivamente.</w:t>
            </w:r>
          </w:p>
        </w:tc>
      </w:tr>
      <w:tr>
        <w:trPr>
          <w:cantSplit/>
        </w:trPr>
        <w:tc>
          <w:tcPr>
            <w:tcW w:type="dxa" w:w="3000"/>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d de Cohen</w:t>
            </w:r>
          </w:p>
        </w:tc>
        <w:tc>
          <w:tcPr>
            <w:tcW w:type="dxa" w:w="6026"/>
            <w:tcBorders>
              <w:top w:val="single" w:color="B8C2DC" w:sz="4"/>
              <w:left w:val="single" w:color="B8C2DC" w:sz="4"/>
              <w:bottom w:val="single" w:color="B8C2DC" w:sz="4"/>
              <w:right w:val="single" w:color="B8C2DC" w:sz="4"/>
            </w:tcBorders>
            <w:shd w:fill="F4F6FB" w:color="auto" w:val="clear"/>
            <w:tcMar>
              <w:top w:type="dxa" w:w="60"/>
              <w:left w:type="dxa" w:w="100"/>
              <w:bottom w:type="dxa" w:w="60"/>
              <w:right w:type="dxa" w:w="100"/>
            </w:tcMar>
            <w:vAlign w:val="center"/>
          </w:tcPr>
          <w:p>
            <w:pPr>
              <w:keepNext w:val="false"/>
              <w:spacing w:after="20"/>
              <w:jc w:val="left"/>
            </w:pPr>
            <w:r>
              <w:rPr>
                <w:sz w:val="18"/>
                <w:szCs w:val="18"/>
              </w:rPr>
              <w:t xml:space="preserve">Medida del tamaño de un efecto: cuántas desviaciones estándar separan dos grupos.</w:t>
            </w:r>
          </w:p>
        </w:tc>
      </w:tr>
    </w:tbl>
    <w:p>
      <w:pPr>
        <w:spacing w:after="100"/>
      </w:pPr>
    </w:p>
    <w:p>
      <w:r>
        <w:br w:type="page"/>
      </w:r>
    </w:p>
    <w:p>
      <w:pPr>
        <w:pStyle w:val="Heading1"/>
      </w:pPr>
      <w:r>
        <w:t xml:space="preserve">Anexo D. Repositorio y reproducibilidad</w:t>
      </w:r>
    </w:p>
    <w:p>
      <w:pPr>
        <w:keepNext w:val="false"/>
        <w:spacing w:after="120" w:before="0" w:line="276"/>
        <w:jc w:val="both"/>
      </w:pPr>
      <w:r>
        <w:t xml:space="preserve">Todo el código, los datos derivados y los reportes están en el repositorio del proyecto (github.com/Vatelfil/slippage). Los archivos de datos de mercado (parquet) no se versionan; los scripts los regeneran. Las carpetas principales son:</w:t>
      </w:r>
    </w:p>
    <w:p>
      <w:pPr>
        <w:pStyle w:val="ListParagraph"/>
        <w:numPr>
          <w:ilvl w:val="0"/>
          <w:numId w:val="2"/>
        </w:numPr>
        <w:spacing w:after="60" w:line="276"/>
        <w:jc w:val="both"/>
      </w:pPr>
      <w:r>
        <w:rPr>
          <w:rFonts w:ascii="Courier New" w:cs="Courier New" w:eastAsia="Courier New" w:hAnsi="Courier New"/>
          <w:sz w:val="20"/>
          <w:szCs w:val="20"/>
        </w:rPr>
        <w:t xml:space="preserve">src/data</w:t>
      </w:r>
      <w:r>
        <w:t xml:space="preserve">, </w:t>
      </w:r>
      <w:r>
        <w:rPr>
          <w:rFonts w:ascii="Courier New" w:cs="Courier New" w:eastAsia="Courier New" w:hAnsi="Courier New"/>
          <w:sz w:val="20"/>
          <w:szCs w:val="20"/>
        </w:rPr>
        <w:t xml:space="preserve">src/features</w:t>
      </w:r>
      <w:r>
        <w:t xml:space="preserve">: descarga, limpieza y variables del Maestro.</w:t>
      </w:r>
    </w:p>
    <w:p>
      <w:pPr>
        <w:pStyle w:val="ListParagraph"/>
        <w:numPr>
          <w:ilvl w:val="0"/>
          <w:numId w:val="2"/>
        </w:numPr>
        <w:spacing w:after="60" w:line="276"/>
        <w:jc w:val="both"/>
      </w:pPr>
      <w:r>
        <w:rPr>
          <w:rFonts w:ascii="Courier New" w:cs="Courier New" w:eastAsia="Courier New" w:hAnsi="Courier New"/>
          <w:sz w:val="20"/>
          <w:szCs w:val="20"/>
        </w:rPr>
        <w:t xml:space="preserve">src/envs</w:t>
      </w:r>
      <w:r>
        <w:t xml:space="preserve">: espacios, entornos, calibración de Poisson, simulador, adaptador de ABIDES-Gym y orquestador.</w:t>
      </w:r>
    </w:p>
    <w:p>
      <w:pPr>
        <w:pStyle w:val="ListParagraph"/>
        <w:numPr>
          <w:ilvl w:val="0"/>
          <w:numId w:val="2"/>
        </w:numPr>
        <w:spacing w:after="60" w:line="276"/>
        <w:jc w:val="both"/>
      </w:pPr>
      <w:r>
        <w:rPr>
          <w:rFonts w:ascii="Courier New" w:cs="Courier New" w:eastAsia="Courier New" w:hAnsi="Courier New"/>
          <w:sz w:val="20"/>
          <w:szCs w:val="20"/>
        </w:rPr>
        <w:t xml:space="preserve">src/models</w:t>
      </w:r>
      <w:r>
        <w:t xml:space="preserve">: redes Actor-Crítico. </w:t>
      </w:r>
      <w:r>
        <w:rPr>
          <w:rFonts w:ascii="Courier New" w:cs="Courier New" w:eastAsia="Courier New" w:hAnsi="Courier New"/>
          <w:sz w:val="20"/>
          <w:szCs w:val="20"/>
        </w:rPr>
        <w:t xml:space="preserve">src/analysis</w:t>
      </w:r>
      <w:r>
        <w:t xml:space="preserve">: métricas, validación del simulador y benchmarks.</w:t>
      </w:r>
    </w:p>
    <w:p>
      <w:pPr>
        <w:pStyle w:val="ListParagraph"/>
        <w:numPr>
          <w:ilvl w:val="0"/>
          <w:numId w:val="2"/>
        </w:numPr>
        <w:spacing w:after="60" w:line="276"/>
        <w:jc w:val="both"/>
      </w:pPr>
      <w:r>
        <w:rPr>
          <w:rFonts w:ascii="Courier New" w:cs="Courier New" w:eastAsia="Courier New" w:hAnsi="Courier New"/>
          <w:sz w:val="20"/>
          <w:szCs w:val="20"/>
        </w:rPr>
        <w:t xml:space="preserve">docs</w:t>
      </w:r>
      <w:r>
        <w:t xml:space="preserve">: esquemas de estado, arquitectura del entorno, calibración de Poisson y evidencia del pipeline. </w:t>
      </w:r>
      <w:r>
        <w:rPr>
          <w:rFonts w:ascii="Courier New" w:cs="Courier New" w:eastAsia="Courier New" w:hAnsi="Courier New"/>
          <w:sz w:val="20"/>
          <w:szCs w:val="20"/>
        </w:rPr>
        <w:t xml:space="preserve">tests</w:t>
      </w:r>
      <w:r>
        <w:t xml:space="preserve">: pruebas automáticas.</w:t>
      </w:r>
    </w:p>
    <w:p>
      <w:pPr>
        <w:keepNext/>
        <w:spacing w:after="120" w:before="0" w:line="276"/>
        <w:jc w:val="both"/>
      </w:pPr>
      <w:r>
        <w:t xml:space="preserve">Comandos principales (desde la raíz del repositorio):</w:t>
      </w:r>
    </w:p>
    <w:p>
      <w:pPr>
        <w:shd w:fill="F1F3F8" w:color="auto" w:val="clear"/>
        <w:spacing w:after="0" w:line="252"/>
        <w:ind w:left="240" w:right="240"/>
      </w:pPr>
      <w:r>
        <w:rPr>
          <w:rFonts w:ascii="Courier New" w:cs="Courier New" w:eastAsia="Courier New" w:hAnsi="Courier New"/>
          <w:sz w:val="18"/>
          <w:szCs w:val="18"/>
        </w:rPr>
        <w:t xml:space="preserve"># pruebas automáticas</w:t>
      </w:r>
    </w:p>
    <w:p>
      <w:pPr>
        <w:shd w:fill="F1F3F8" w:color="auto" w:val="clear"/>
        <w:spacing w:after="0" w:line="252"/>
        <w:ind w:left="240" w:right="240"/>
      </w:pPr>
      <w:r>
        <w:rPr>
          <w:rFonts w:ascii="Courier New" w:cs="Courier New" w:eastAsia="Courier New" w:hAnsi="Courier New"/>
          <w:sz w:val="18"/>
          <w:szCs w:val="18"/>
        </w:rPr>
        <w:t xml:space="preserve">python -m pytest -q</w:t>
      </w:r>
    </w:p>
    <w:p>
      <w:pPr>
        <w:shd w:fill="F1F3F8" w:color="auto" w:val="clear"/>
        <w:spacing w:after="0" w:line="252"/>
        <w:ind w:left="240" w:right="240"/>
      </w:pPr>
      <w:r>
        <w:rPr>
          <w:rFonts w:ascii="Courier New" w:cs="Courier New" w:eastAsia="Courier New" w:hAnsi="Courier New"/>
          <w:sz w:val="18"/>
          <w:szCs w:val="18"/>
        </w:rPr>
        <w:t xml:space="preserve"> </w:t>
      </w:r>
    </w:p>
    <w:p>
      <w:pPr>
        <w:shd w:fill="F1F3F8" w:color="auto" w:val="clear"/>
        <w:spacing w:after="0" w:line="252"/>
        <w:ind w:left="240" w:right="240"/>
      </w:pPr>
      <w:r>
        <w:rPr>
          <w:rFonts w:ascii="Courier New" w:cs="Courier New" w:eastAsia="Courier New" w:hAnsi="Courier New"/>
          <w:sz w:val="18"/>
          <w:szCs w:val="18"/>
        </w:rPr>
        <w:t xml:space="preserve"># calibración de Poisson (snapshot indicado)</w:t>
      </w:r>
    </w:p>
    <w:p>
      <w:pPr>
        <w:shd w:fill="F1F3F8" w:color="auto" w:val="clear"/>
        <w:spacing w:after="0" w:line="252"/>
        <w:ind w:left="240" w:right="240"/>
      </w:pPr>
      <w:r>
        <w:rPr>
          <w:rFonts w:ascii="Courier New" w:cs="Courier New" w:eastAsia="Courier New" w:hAnsi="Courier New"/>
          <w:sz w:val="18"/>
          <w:szCs w:val="18"/>
        </w:rPr>
        <w:t xml:space="preserve">python -m src.envs.calibration_poisson --snapshot 2026-08-23 --all</w:t>
      </w:r>
    </w:p>
    <w:p>
      <w:pPr>
        <w:shd w:fill="F1F3F8" w:color="auto" w:val="clear"/>
        <w:spacing w:after="0" w:line="252"/>
        <w:ind w:left="240" w:right="240"/>
      </w:pPr>
      <w:r>
        <w:rPr>
          <w:rFonts w:ascii="Courier New" w:cs="Courier New" w:eastAsia="Courier New" w:hAnsi="Courier New"/>
          <w:sz w:val="18"/>
          <w:szCs w:val="18"/>
        </w:rPr>
        <w:t xml:space="preserve"> </w:t>
      </w:r>
    </w:p>
    <w:p>
      <w:pPr>
        <w:shd w:fill="F1F3F8" w:color="auto" w:val="clear"/>
        <w:spacing w:after="0" w:line="252"/>
        <w:ind w:left="240" w:right="240"/>
      </w:pPr>
      <w:r>
        <w:rPr>
          <w:rFonts w:ascii="Courier New" w:cs="Courier New" w:eastAsia="Courier New" w:hAnsi="Courier New"/>
          <w:sz w:val="18"/>
          <w:szCs w:val="18"/>
        </w:rPr>
        <w:t xml:space="preserve"># caracterización del mercado y benchmarks TWAP/VWAP</w:t>
      </w:r>
    </w:p>
    <w:p>
      <w:pPr>
        <w:shd w:fill="F1F3F8" w:color="auto" w:val="clear"/>
        <w:spacing w:after="0" w:line="252"/>
        <w:ind w:left="240" w:right="240"/>
      </w:pPr>
      <w:r>
        <w:rPr>
          <w:rFonts w:ascii="Courier New" w:cs="Courier New" w:eastAsia="Courier New" w:hAnsi="Courier New"/>
          <w:sz w:val="18"/>
          <w:szCs w:val="18"/>
        </w:rPr>
        <w:t xml:space="preserve">PYTHONPATH=. python src/analysis/market_validation.py</w:t>
      </w:r>
    </w:p>
    <w:p>
      <w:pPr>
        <w:shd w:fill="F1F3F8" w:color="auto" w:val="clear"/>
        <w:spacing w:after="0" w:line="252"/>
        <w:ind w:left="240" w:right="240"/>
      </w:pPr>
      <w:r>
        <w:rPr>
          <w:rFonts w:ascii="Courier New" w:cs="Courier New" w:eastAsia="Courier New" w:hAnsi="Courier New"/>
          <w:sz w:val="18"/>
          <w:szCs w:val="18"/>
        </w:rPr>
        <w:t xml:space="preserve">PYTHONPATH=. python src/analysis/benchmarks.py</w:t>
      </w:r>
    </w:p>
    <w:p>
      <w:pPr>
        <w:spacing w:after="100"/>
      </w:pPr>
    </w:p>
    <w:p>
      <w:pPr>
        <w:keepNext w:val="false"/>
        <w:spacing w:after="120" w:before="0" w:line="276"/>
        <w:jc w:val="both"/>
      </w:pPr>
      <w:r>
        <w:t xml:space="preserve">La integración con ABIDES-Gym solo funciona en un entorno Python 3.9 con las versiones fijadas; la receta de instalación para Google Colab está en el documento de diagnóstico del repositorio.</w:t>
      </w:r>
    </w:p>
    <w:p>
      <w:pPr>
        <w:pStyle w:val="Heading1"/>
      </w:pPr>
      <w:r>
        <w:t xml:space="preserve">Referencias adicionales de la Parte II</w:t>
      </w:r>
    </w:p>
    <w:p>
      <w:pPr>
        <w:keepNext w:val="false"/>
        <w:spacing w:after="120" w:before="0" w:line="276"/>
        <w:jc w:val="both"/>
      </w:pPr>
      <w:r>
        <w:t xml:space="preserve">Se suman a la bibliografía de la Parte I.</w:t>
      </w:r>
    </w:p>
    <w:p>
      <w:pPr>
        <w:spacing w:after="100" w:line="264"/>
        <w:ind w:left="480" w:hanging="480"/>
        <w:jc w:val="left"/>
      </w:pPr>
      <w:r>
        <w:rPr>
          <w:sz w:val="21"/>
          <w:szCs w:val="21"/>
        </w:rPr>
        <w:t xml:space="preserve">Amrouni, S., Moulin, A., Vann, J., Vyetrenko, S., Balch, T., &amp; Veloso, M. (2021). ABIDES-Gym: Gym environments for multi-agent discrete event simulation and application to financial markets. En Proceedings of the Second ACM International Conference on AI in Finance (ICAIF ’21).</w:t>
      </w:r>
    </w:p>
    <w:p>
      <w:pPr>
        <w:spacing w:after="100" w:line="264"/>
        <w:ind w:left="480" w:hanging="480"/>
        <w:jc w:val="left"/>
      </w:pPr>
      <w:r>
        <w:rPr>
          <w:sz w:val="21"/>
          <w:szCs w:val="21"/>
        </w:rPr>
        <w:t xml:space="preserve">Cohen, J. (1988). Statistical power analysis for the behavioral sciences (2.ª ed.). Lawrence Erlbaum Associates.</w:t>
      </w:r>
    </w:p>
    <w:p>
      <w:pPr>
        <w:spacing w:after="100" w:line="264"/>
        <w:ind w:left="480" w:hanging="480"/>
        <w:jc w:val="left"/>
      </w:pPr>
      <w:r>
        <w:rPr>
          <w:sz w:val="21"/>
          <w:szCs w:val="21"/>
        </w:rPr>
        <w:t xml:space="preserve">Kruskal, W. H., &amp; Wallis, W. A. (1952). Use of ranks in one-criterion variance analysis. Journal of the American Statistical Association, 47(260), 583–621.</w:t>
      </w:r>
    </w:p>
    <w:p>
      <w:pPr>
        <w:spacing w:after="100" w:line="264"/>
        <w:ind w:left="480" w:hanging="480"/>
        <w:jc w:val="left"/>
      </w:pPr>
      <w:r>
        <w:rPr>
          <w:sz w:val="21"/>
          <w:szCs w:val="21"/>
        </w:rPr>
        <w:t xml:space="preserve">Mann, H. B., &amp; Whitney, D. R. (1947). On a test of whether one of two random variables is stochastically larger than the other. The Annals of Mathematical Statistics, 18(1), 50–60.</w:t>
      </w:r>
    </w:p>
    <w:p>
      <w:pPr>
        <w:spacing w:after="100" w:line="264"/>
        <w:ind w:left="480" w:hanging="480"/>
        <w:jc w:val="left"/>
      </w:pPr>
      <w:r>
        <w:rPr>
          <w:sz w:val="21"/>
          <w:szCs w:val="21"/>
        </w:rPr>
        <w:t xml:space="preserve">Roll, R. (1984). A simple implicit measure of the effective bid-ask spread in an efficient market. Journal of Finance, 39(4), 1127–1139.</w:t>
      </w:r>
    </w:p>
    <w:p>
      <w:pPr>
        <w:spacing w:after="100" w:line="264"/>
        <w:ind w:left="480" w:hanging="480"/>
        <w:jc w:val="left"/>
      </w:pPr>
      <w:r>
        <w:rPr>
          <w:sz w:val="21"/>
          <w:szCs w:val="21"/>
        </w:rPr>
        <w:t xml:space="preserve">Schulman, J., Moritz, P., Levine, S., Jordan, M., &amp; Abbeel, P. (2016). High-dimensional continuous control using generalized advantage estimation. En International Conference on Learning Representations (ICLR 2016). arXiv:1506.02438.</w:t>
      </w:r>
    </w:p>
    <w:p>
      <w:pPr>
        <w:spacing w:after="100" w:line="264"/>
        <w:ind w:left="480" w:hanging="480"/>
        <w:jc w:val="left"/>
      </w:pPr>
      <w:r>
        <w:rPr>
          <w:sz w:val="21"/>
          <w:szCs w:val="21"/>
        </w:rPr>
        <w:t xml:space="preserve">Wilcoxon, F. (1945). Individual comparisons by ranking methods. Biometrics Bulletin, 1(6), 80–83.</w:t>
      </w:r>
    </w:p>
    <w:sectPr>
      <w:headerReference w:type="default" r:id="rId6"/>
      <w:footerReference w:type="default" r:id="rId7"/>
      <w:type w:val="nextPage"/>
      <w:pgSz w:w="11906" w:h="16838"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9C"/>
        <w:sz w:val="17"/>
        <w:szCs w:val="17"/>
      </w:rPr>
      <w:t xml:space="preserve">UTEM · Escuela de Informática y Computación   |   Página </w:t>
    </w:r>
    <w:r>
      <w:rPr>
        <w:color w:val="5A6B9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DC" w:sz="4" w:space="4"/>
      </w:pBdr>
      <w:jc w:val="right"/>
    </w:pPr>
    <w:r>
      <w:rPr>
        <w:color w:val="5A6B9C"/>
        <w:sz w:val="17"/>
        <w:szCs w:val="17"/>
      </w:rPr>
      <w:t xml:space="preserve">Informe de Desarrollo · Título II · Mitigación del Slippage en el IPSA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lowerLetter"/>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5"/>
    <w:lvlOverride w:ilvl="0">
      <w:startOverride w:val="1"/>
    </w:lvlOverride>
  </w:num>
  <w:num w:numId="5">
    <w:abstractNumId w:val="7"/>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i w:val="false"/>
      <w:iCs w:val="false"/>
      <w:color w:val="1E2761"/>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i w:val="false"/>
      <w:iCs w:val="false"/>
      <w:color w:val="1E2761"/>
      <w:sz w:val="27"/>
      <w:szCs w:val="27"/>
    </w:rPr>
  </w:style>
  <w:style w:type="paragraph" w:styleId="Heading3">
    <w:name w:val="Heading 3"/>
    <w:basedOn w:val="Normal"/>
    <w:next w:val="Normal"/>
    <w:qFormat/>
    <w:pPr>
      <w:keepNext/>
      <w:spacing w:after="100" w:before="220"/>
      <w:outlineLvl w:val="2"/>
    </w:pPr>
    <w:rPr>
      <w:rFonts w:ascii="Calibri" w:cs="Calibri" w:eastAsia="Calibri" w:hAnsi="Calibri"/>
      <w:b/>
      <w:bCs/>
      <w:i w:val="false"/>
      <w:iCs w:val="false"/>
      <w:color w:val="1E2761"/>
      <w:sz w:val="24"/>
      <w:szCs w:val="24"/>
    </w:rPr>
  </w:style>
  <w:style w:type="paragraph" w:styleId="Heading4">
    <w:name w:val="Heading 4"/>
    <w:basedOn w:val="Normal"/>
    <w:next w:val="Normal"/>
    <w:qFormat/>
    <w:pPr>
      <w:keepNext/>
      <w:spacing w:after="80" w:before="180"/>
      <w:outlineLvl w:val="3"/>
    </w:pPr>
    <w:rPr>
      <w:rFonts w:ascii="Calibri" w:cs="Calibri" w:eastAsia="Calibri" w:hAnsi="Calibri"/>
      <w:b/>
      <w:bCs/>
      <w:i/>
      <w:iCs/>
      <w:color w:val="1E276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mabplqok7hb0tmyax0ikv" Type="http://schemas.openxmlformats.org/officeDocument/2006/relationships/hyperlink" Target="https://tiendaonline.bolsadesantiago.com/VentasOnline/bbdd" TargetMode="External"/><Relationship Id="rIdaupwar-hzzijdvtmuhth2" Type="http://schemas.openxmlformats.org/officeDocument/2006/relationships/hyperlink" Target="https://pypi.org/project/yfinance/" TargetMode="External"/><Relationship Id="rIdsucuaj2uffdwaxciqfofi" Type="http://schemas.openxmlformats.org/officeDocument/2006/relationships/hyperlink" Target="https://github.com/Reckziegel/YahooTickers" TargetMode="External"/><Relationship Id="rIdz4irb6k7uldx5tfo_t0kb" Type="http://schemas.openxmlformats.org/officeDocument/2006/relationships/hyperlink" Target="https://es.investing.com/indices/ipsa-historical-data" TargetMode="External"/><Relationship Id="rIdadj_amus-j1pwnakqylyc" Type="http://schemas.openxmlformats.org/officeDocument/2006/relationships/hyperlink" Target="https://si3.bcentral.cl/Siete/ES/Siete/Cuadro/CAP_ESTADIST_MACRO/MN_EST_MACRO_IV/PEM_INDBUR/PEM_INDBUR" TargetMode="External"/><Relationship Id="rId1hmk0sn74h4tocarokgeo" Type="http://schemas.openxmlformats.org/officeDocument/2006/relationships/hyperlink" Target="https://developer.ice.com/fixed-income-data-services/catalog/santiago-stock-exchange-bcs" TargetMode="External"/><Relationship Id="rIdbeqa5wo8bea6mff_avkuq" Type="http://schemas.openxmlformats.org/officeDocument/2006/relationships/hyperlink" Target="https://github.com/jpmorganchase/abides-jpmc-public" TargetMode="External"/><Relationship Id="rIdbh3o4taxzmun5ealgqjoq" Type="http://schemas.openxmlformats.org/officeDocument/2006/relationships/hyperlink" Target="https://github.com/LeonardoBerti00/DeepMarket" TargetMode="External"/><Relationship Id="rIdiua9qs-t2uy5_otwnb5p_" Type="http://schemas.openxmlformats.org/officeDocument/2006/relationships/hyperlink" Target="https://doi.org/10.1016/0304-405X(85)90044-3" TargetMode="External"/><Relationship Id="rIdaamstpxgf9exslljkflvi" Type="http://schemas.openxmlformats.org/officeDocument/2006/relationships/hyperlink" Target="https://doi.org/10.1016/0304-405X(85)90044-3" TargetMode="External"/><Relationship Id="rId3ewdzuis8pfr_4oynlb-2" Type="http://schemas.openxmlformats.org/officeDocument/2006/relationships/hyperlink" Target="https://doi.org/10.1080/14697688.2013.803148" TargetMode="External"/><Relationship Id="rId8pzkdgpasmcwbz6mwr10v" Type="http://schemas.openxmlformats.org/officeDocument/2006/relationships/hyperlink" Target="https://doi.org/10.1080/14697688.2013.803148" TargetMode="External"/><Relationship Id="rIdun5idpnbqw5pbc2ky66lx" Type="http://schemas.openxmlformats.org/officeDocument/2006/relationships/hyperlink" Target="https://doi.org/10.1111/j.1540-6261.1991.tb03749.x" TargetMode="External"/><Relationship Id="rIdez4yk38kknto6arzovyto" Type="http://schemas.openxmlformats.org/officeDocument/2006/relationships/hyperlink" Target="https://doi.org/10.1111/j.1540-6261.1991.tb03749.x" TargetMode="External"/><Relationship Id="rIdo-gtrfh_f4im6ivvvu2in" Type="http://schemas.openxmlformats.org/officeDocument/2006/relationships/hyperlink" Target="https://doi.org/10.2307/1913210" TargetMode="External"/><Relationship Id="rIdkouxuipsn-6dg6ymlnv9x" Type="http://schemas.openxmlformats.org/officeDocument/2006/relationships/hyperlink" Target="https://doi.org/10.2307/1913210" TargetMode="External"/><Relationship Id="rIdfk0tgv9bp_iehpwe8sbhe" Type="http://schemas.openxmlformats.org/officeDocument/2006/relationships/hyperlink" Target="https://doi.org/10.1093/rfs/11.4.789" TargetMode="External"/><Relationship Id="rIdcuo6nb4bssywzuqg1qjqw" Type="http://schemas.openxmlformats.org/officeDocument/2006/relationships/hyperlink" Target="https://doi.org/10.1093/rfs/11.4.789" TargetMode="External"/><Relationship Id="rIdze8xosxlgyeganoyfursa" Type="http://schemas.openxmlformats.org/officeDocument/2006/relationships/hyperlink" Target="https://doi.org/10.1093/rfs/hhp011" TargetMode="External"/><Relationship Id="rIdqch23guzaratb94gqleoy" Type="http://schemas.openxmlformats.org/officeDocument/2006/relationships/hyperlink" Target="https://doi.org/10.1093/rfs/hhp011" TargetMode="External"/><Relationship Id="rId9bhubu4x-m_teo_6vucnn" Type="http://schemas.openxmlformats.org/officeDocument/2006/relationships/hyperlink" Target="https://doi.org/10.21314/JOR.2001.041" TargetMode="External"/><Relationship Id="rIdmet9icfo23c9mo4wf0ult" Type="http://schemas.openxmlformats.org/officeDocument/2006/relationships/hyperlink" Target="https://doi.org/10.21314/JOR.2001.041" TargetMode="External"/><Relationship Id="rIdo5ou3tqk55cfe4rozjkrc" Type="http://schemas.openxmlformats.org/officeDocument/2006/relationships/hyperlink" Target="https://doi.org/10.1080/135048602100056327" TargetMode="External"/><Relationship Id="rIdrfxtlpabgvugomhanfa3y" Type="http://schemas.openxmlformats.org/officeDocument/2006/relationships/hyperlink" Target="https://doi.org/10.1080/135048602100056327" TargetMode="External"/><Relationship Id="rIdr4ehuk7tvrhahpisp8opp" Type="http://schemas.openxmlformats.org/officeDocument/2006/relationships/hyperlink" Target="https://arxiv.org/abs/1605.03683" TargetMode="External"/><Relationship Id="rIde1wb2q_a2eujqwpc8e5wb" Type="http://schemas.openxmlformats.org/officeDocument/2006/relationships/hyperlink" Target="https://arxiv.org/abs/1605.03683" TargetMode="External"/><Relationship Id="rIdw51usku76zgu6uphfb6yw" Type="http://schemas.openxmlformats.org/officeDocument/2006/relationships/hyperlink" Target="https://doi.org/10.3905/jpm.1988.409150" TargetMode="External"/><Relationship Id="rIde1k-eu3n6selsvidv8n-k" Type="http://schemas.openxmlformats.org/officeDocument/2006/relationships/hyperlink" Target="https://doi.org/10.3905/jpm.1988.409150" TargetMode="External"/><Relationship Id="rIdb-nrivkxlqrykmb-crudz" Type="http://schemas.openxmlformats.org/officeDocument/2006/relationships/hyperlink" Target="https://doi.org/10.3905/jfds.2019.1.1.159" TargetMode="External"/><Relationship Id="rIdoldzkgxkgtx-iby8ngmvt" Type="http://schemas.openxmlformats.org/officeDocument/2006/relationships/hyperlink" Target="https://doi.org/10.3905/jfds.2019.1.1.159" TargetMode="External"/><Relationship Id="rId_cg7qgura8dfy0pfzm3ec" Type="http://schemas.openxmlformats.org/officeDocument/2006/relationships/hyperlink" Target="https://doi.org/10.1145/1143844.1143929" TargetMode="External"/><Relationship Id="rIdxqccreiq-csa9xsry_byl" Type="http://schemas.openxmlformats.org/officeDocument/2006/relationships/hyperlink" Target="https://doi.org/10.1145/1143844.1143929" TargetMode="External"/><Relationship Id="rIdb3ffwsyesmivmdjvvblpe" Type="http://schemas.openxmlformats.org/officeDocument/2006/relationships/hyperlink" Target="https://doi.org/10.1080/1350486X.2021.1913724" TargetMode="External"/><Relationship Id="rIdxvh6yilcnsz2af_j2is5_" Type="http://schemas.openxmlformats.org/officeDocument/2006/relationships/hyperlink" Target="https://doi.org/10.1080/1350486X.2021.1913724" TargetMode="External"/><Relationship Id="rId3sped8o3pxn6nfuly67xf" Type="http://schemas.openxmlformats.org/officeDocument/2006/relationships/hyperlink" Target="https://arxiv.org/abs/1707.06347" TargetMode="External"/><Relationship Id="rIdh0dxb02qjeylaxssbvkjw" Type="http://schemas.openxmlformats.org/officeDocument/2006/relationships/hyperlink" Target="https://arxiv.org/abs/1707.06347" TargetMode="External"/><Relationship Id="rIdbbzix7qmxnnmvadxxyqzc" Type="http://schemas.openxmlformats.org/officeDocument/2006/relationships/hyperlink" Target="https://arxiv.org/abs/1706.02275" TargetMode="External"/><Relationship Id="rIdzuf-w-npktywkyn5uvfx3" Type="http://schemas.openxmlformats.org/officeDocument/2006/relationships/hyperlink" Target="https://arxiv.org/abs/1803.11485" TargetMode="External"/><Relationship Id="rIdlzwcacerjfkj0gz5u4sne" Type="http://schemas.openxmlformats.org/officeDocument/2006/relationships/hyperlink" Target="https://doi.org/10.4067/S0718-88702022000200045" TargetMode="External"/><Relationship Id="rIdm6unybzv3vyu4oqkc3vhh" Type="http://schemas.openxmlformats.org/officeDocument/2006/relationships/hyperlink" Target="https://doi.org/10.4067/S0718-88702022000200045" TargetMode="External"/><Relationship Id="rIdulv9kxrtyxuyyn315vbol" Type="http://schemas.openxmlformats.org/officeDocument/2006/relationships/hyperlink" Target="https://servicioscms.bolsadesantiago.com/Normativas%20Bolsa%20de%20Comercio/Manual%20de%20Operaciones%20en%20Acciones.pdf" TargetMode="External"/><Relationship Id="rIdx8okcxgdx-w2cya9jaaly" Type="http://schemas.openxmlformats.org/officeDocument/2006/relationships/hyperlink" Target="https://servicioscms.bolsadesantiago.com/Normativas%20Bolsa%20de%20Comercio/Manual%20de%20Operaciones%20en%20Acciones.pdf" TargetMode="External"/><Relationship Id="rIdlxyok22xc1pkav1nmztqq" Type="http://schemas.openxmlformats.org/officeDocument/2006/relationships/hyperlink" Target="https://www.cmfchile.cl/portal/principal/613/articles-806_doc_pdf.pdf" TargetMode="External"/><Relationship Id="rIdzebhvxswvhaiuv01m4ohm" Type="http://schemas.openxmlformats.org/officeDocument/2006/relationships/hyperlink" Target="https://www.cmfchile.cl/portal/principal/613/articles-806_doc_pdf.pdf" TargetMode="External"/><Relationship Id="rIdlwoirhwi6ue1vq6c4mo-c" Type="http://schemas.openxmlformats.org/officeDocument/2006/relationships/hyperlink" Target="https://doi.org/10.5354/0719-0816.2023.71342" TargetMode="External"/><Relationship Id="rIdmjljftnwzx_ddt1zjjqof" Type="http://schemas.openxmlformats.org/officeDocument/2006/relationships/hyperlink" Target="https://doi.org/10.5354/0719-0816.2023.71342" TargetMode="External"/><Relationship Id="rIdfryjateqotxzq7wlbgux7" Type="http://schemas.openxmlformats.org/officeDocument/2006/relationships/hyperlink" Target="https://doi.org/10.1145/3383455.3422569" TargetMode="External"/><Relationship Id="rIdz0zicnxt-9v9pt1qga86j" Type="http://schemas.openxmlformats.org/officeDocument/2006/relationships/hyperlink" Target="https://arxiv.org/abs/2209.15042" TargetMode="External"/><Relationship Id="rIdija_qorecfj5yg8dn_n3l" Type="http://schemas.openxmlformats.org/officeDocument/2006/relationships/hyperlink" Target="https://doi.org/10.1080/14697688.2013.803148" TargetMode="External"/><Relationship Id="rId9" Type="http://schemas.openxmlformats.org/officeDocument/2006/relationships/image" Target="media/8e03a15df1bbbb03993b63b3f716c4b70771e5d5.png"/><Relationship Id="rId10" Type="http://schemas.openxmlformats.org/officeDocument/2006/relationships/image" Target="media/a4363d20c6380e723baf700024829b636ab6602b.png"/><Relationship Id="rId11" Type="http://schemas.openxmlformats.org/officeDocument/2006/relationships/image" Target="media/de612a31b1792aca6608d27aa9a9daa644e2e4da.png"/><Relationship Id="rId12" Type="http://schemas.openxmlformats.org/officeDocument/2006/relationships/image" Target="media/a5bcfd7e4faa886d79bc24a7251dae63d3c3fe82.png"/><Relationship Id="rId13" Type="http://schemas.openxmlformats.org/officeDocument/2006/relationships/image" Target="media/879af0afd7f881aad150f29e2d4310e4d82b47c8.png"/><Relationship Id="rId14" Type="http://schemas.openxmlformats.org/officeDocument/2006/relationships/image" Target="media/694257a299cf126883781e57bbd3d8df6432915a.png"/><Relationship Id="rId15" Type="http://schemas.openxmlformats.org/officeDocument/2006/relationships/image" Target="media/b2d42fced8a99ffead2e62d97f2498b6c2dc68f2.png"/><Relationship Id="rId16" Type="http://schemas.openxmlformats.org/officeDocument/2006/relationships/image" Target="media/7498fc6f0b3054e794342a4353f02f744a866c66.png"/><Relationship Id="rId17" Type="http://schemas.openxmlformats.org/officeDocument/2006/relationships/image" Target="media/9ffc88cf9369f33e0b1c3729b6258e7f8fabfce9.png"/><Relationship Id="rId18" Type="http://schemas.openxmlformats.org/officeDocument/2006/relationships/image" Target="media/58b42b13507b15dd6a7f308c6fc17fd24f875123.png"/><Relationship Id="rId19" Type="http://schemas.openxmlformats.org/officeDocument/2006/relationships/image" Target="media/093e81526a52fd00838484dfce3f17d96d1da97e.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Desarrollo — Título II: Coordinación de Agentes para la Mitigación del Slippage (IPSA)</dc:title>
  <dc:creator>Paolo Sepúlveda, Mauricio Reynoso, Benjamín Farias</dc:creator>
  <dc:description>Anteproyecto (Parte I) y desarrollo (Parte II)</dc:description>
  <cp:lastModifiedBy>Un-named</cp:lastModifiedBy>
  <cp:revision>1</cp:revision>
  <dcterms:created xsi:type="dcterms:W3CDTF">2026-10-22T21:33:04.612Z</dcterms:created>
  <dcterms:modified xsi:type="dcterms:W3CDTF">2026-10-22T21:33:04.613Z</dcterms:modified>
</cp:coreProperties>
</file>

<file path=docProps/custom.xml><?xml version="1.0" encoding="utf-8"?>
<Properties xmlns="http://schemas.openxmlformats.org/officeDocument/2006/custom-properties" xmlns:vt="http://schemas.openxmlformats.org/officeDocument/2006/docPropsVTypes"/>
</file>