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Universidad Tecnológica Metropolitana (UTEM)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II — Coordinación de Agentes para la Mitigación del Slippage (IPSA)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Sprint 1 · Tarea 1.1.4 — Definición formal del esquema de los vectores de estado S_M y S_E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Autor: Paolo Sepúlveda Parraguez (PS)  ·  Fecha: 22-08-2026  ·  Hito 5, Sprint 1 (17–28 ago 2026)</w:t>
      </w:r>
    </w:p>
    <w:p>
      <w:pPr>
        <w:pStyle w:val="Heading1"/>
        <w:spacing w:after="150" w:before="300"/>
      </w:pPr>
      <w:r>
        <w:t xml:space="preserve">1. Qué se hizo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formalizó, en un esquema técnico versionado y reutilizable por el resto del equipo, la definición completa de los dos vectores de estado (observation space) del sistema multi-agente jerárquico: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S_M: vector de estado del Agente Maestro, 7 variables, frecuencia de decisión cada 30 minutos.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S_E: vector de estado de los Agentes Ejecutores (los 3 tramos comparten el mismo esquema), 26 variables, frecuencia de decisión cada 30 segundos.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 cada variable se documentó: nombre, tipo de dato, rango normalizado, fuente de datos concreta (yfinance, ABIDES-Gym o cálculo interno del entorno) y la fórmula o regla de cálculo. El resultado se materializó en dos artefactos versionables del repositorio: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docs/schemas/SM_schema.json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docs/schemas/SE_schema.json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además del presente documento de sustento (docs/sprint1_esquema_vectores_PS.docx).</w:t>
      </w:r>
    </w:p>
    <w:p>
      <w:pPr>
        <w:pStyle w:val="Heading1"/>
        <w:spacing w:after="150" w:before="300"/>
      </w:pPr>
      <w:r>
        <w:t xml:space="preserve">2. Por qué se hizo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Esta tarea es un contrato de datos entre componentes del sistema, no una decisión de diseño libre: fija de forma inequívoca qué observa cada agente antes de que Mauricio (MR) implemente las redes Actor-Crítico (Sprint 3, tarea 2.1.4) y antes de que Benjamin (BF) calibre el pipeline de datos y ABIDES-Gym (Sprint 2). Sin este esquema fijado por escrito: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pipeline de datos (BF, tarea 1.2.2) no sabría qué columnas y rangos debe producir exactamente.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redes neuronales (MR, tarea 2.1.1/2.1.2) no tendrían definida la dimensión de entrada.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 tres integrantes podrían implementar variantes incompatibles del mismo vector, generando retrabajo en Sprint 3-4.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decidió fijar el esquema completo en JSON (no solo en prosa) porque el propio informe de Título I (sección 12, "Contratos de Datos entre Componentes") define explícitamente que estos vectores son un contrato entre el pipeline y los entornos Gymnasium — un formato ejecutable/parseable reduce la ambigüedad frente a una descripción solo narrativa.</w:t>
      </w:r>
    </w:p>
    <w:p>
      <w:pPr>
        <w:pStyle w:val="Heading1"/>
        <w:spacing w:after="150" w:before="300"/>
      </w:pPr>
      <w:r>
        <w:t xml:space="preserve">3. Para qué (uso posterior)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Consumidor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Tarea futura</w:t>
            </w:r>
          </w:p>
        </w:tc>
        <w:tc>
          <w:tcPr>
            <w:tcW w:type="dxa" w:w="46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Uso del esquema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MR (Mauricio)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2.1.4 (Sprint 3)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Formalizar en código los gym.spaces.Box / MultiDiscrete / Dict exactamente con estos rangos y dimensiones.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MR (Mauricio)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2.1.1 / 2.1.2 (Sprint 3)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Definir la capa de entrada de las redes Actor-Crítico del Maestro (7) y Ejecutores (26).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BF (Benjamin)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1.2.2 (Sprint 2)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Calcular exactamente las columnas volatilidad, vol_promedio, sesion, tau_t que S_M espera.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BF (Benjamin)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1.2.3 / 1.2.4 / 2.2.4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Calibrar ABIDES-Gym para producir las 26 variables de S_E (LOB Nivel 2, spread, OBI, tasa de órdenes).</w:t>
            </w:r>
          </w:p>
        </w:tc>
      </w:tr>
      <w:tr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 (Paolo)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2.2.5 (Sprint 4)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Validar estadísticamente que las distribuciones simuladas (spread, OBI, volumen) coinciden con lo definido aquí.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Resultado</w:t>
      </w:r>
    </w:p>
    <w:p>
      <w:pPr>
        <w:pStyle w:val="Heading2"/>
        <w:spacing w:after="120" w:before="240"/>
      </w:pPr>
      <w:r>
        <w:t xml:space="preserve">4.1 Vector de estado del Agente Maestro (S_M) — dimensión 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900"/>
        <w:gridCol w:w="3400"/>
      </w:tblGrid>
      <w:tr>
        <w:tc>
          <w:tcPr>
            <w:tcW w:type="dxa" w:w="16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Rango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q_t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(Q_total - Q_ejecutado) / Q_total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tau_t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 yfinance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(t - 09:30) / 390 min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n_slices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int32→float32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slices_enviados / 13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volatilidad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yfinance Close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rolling(6).std() normalizado MinMaxScaler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vol_promedio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yfinance Volume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rolling(6).mean() normalizado MinMaxScaler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OBI_agregado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[-1,1]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(V_bid - V_ask) / (V_bid + V_ask)</w:t>
            </w:r>
          </w:p>
        </w:tc>
      </w:tr>
      <w:tr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sesion</w:t>
            </w:r>
          </w:p>
        </w:tc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int32→float32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0→Apertura, 0.5→Media, 1→Cierre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Espacio de observación (Gymnasium):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observation_space_maestro = gym.spaces.Box(
    low  = np.array([0.0, 0.0, 0.0, 0.0, 0.0, -1.0, 0.0], dtype=np.float32),
    high = np.array([1.0, 1.0, 1.0, 1.0, 1.0,  1.0, 1.0], dtype=np.float32),
    dtype = np.float32
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Espacio de acción del Maestro: MultiDiscrete([10, 4]) → 10 valores de alpha_t (0.05 a 0.50) × 4 valores de ventana_min (1, 5, 10, 15) = 40 combinaciones.</w:t>
      </w:r>
    </w:p>
    <w:p>
      <w:pPr>
        <w:pStyle w:val="Heading2"/>
        <w:spacing w:after="120" w:before="240"/>
      </w:pPr>
      <w:r>
        <w:t xml:space="preserve">4.2 Vector de estado de los Agentes Ejecutores (S_E) — dimensión 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200"/>
        <w:gridCol w:w="900"/>
        <w:gridCol w:w="3400"/>
      </w:tblGrid>
      <w:tr>
        <w:tc>
          <w:tcPr>
            <w:tcW w:type="dxa" w:w="19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Rango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Dim.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q_slice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Maestro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q_pendiente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tau_slice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bid_precios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 LOB Niv.2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bid_volumenes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 LOB Niv.2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ask_precios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 LOB Niv.2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ask_volumenes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 LOB Niv.2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spread_t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OBI_t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[-1,1]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tasa_ordenes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</w:t>
            </w:r>
          </w:p>
        </w:tc>
      </w:tr>
      <w:tr>
        <w:tc>
          <w:tcPr>
            <w:tcW w:type="dxa" w:w="1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P_mid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[0,1]</w:t>
            </w:r>
          </w:p>
        </w:tc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ABIDES-Gym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Desglose dimensional: 3 (privado) + 10 (bid precio+volumen) + 10 (ask precio+volumen) + 4 (spread, OBI, tasa_ordenes, P_mid) = 26.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Espacio de acción del Ejecutor (híbrido discreto/continuo):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action_space_ejecutor = spaces.Dict({
    'tipo_orden' : spaces.Discrete(3),          # 0=mercado, 1=limite, 2=esperar
    'volumen_frac': spaces.Box(0.0, 1.0, (1,), dtype=np.float32),
    'nivel_precio': spaces.Discrete(4),         # 0=mejor_bid, 1=bid-1, 2=bid-2, 3=P_mid
})</w:t>
      </w:r>
    </w:p>
    <w:p>
      <w:pPr>
        <w:pStyle w:val="Heading2"/>
        <w:spacing w:after="120" w:before="240"/>
      </w:pPr>
      <w:r>
        <w:t xml:space="preserve">4.3 Entregables generados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docs/schemas/SM_schema.json — esquema formal y parseable del vector S_M, listo para ser consumido por código Python.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docs/schemas/SE_schema.json — esquema formal y parseable del vector S_E.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docs/sprint1_esquema_vectores_PS.docx — este documento de sustento (qué / por qué / para qué / resultado).</w:t>
      </w:r>
    </w:p>
    <w:p>
      <w:pPr>
        <w:pStyle w:val="Heading1"/>
        <w:spacing w:after="150" w:before="300"/>
      </w:pPr>
      <w:r>
        <w:t xml:space="preserve">5. Notas y dependencias pendientes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OBI_agregado (S_M) y las 26 variables de S_E dependen de ABIDES-Gym, que aún no está integrado (tareas 1.2.3/1.2.4, responsable MR, Sprint 2). Mientras tanto, OBI_agregado debe usarse con placeholder 0.0, explícitamente documentado como tal.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 hiperparámetros λ (penalización de inventario, R_M) y β (aversión al riesgo, R_E) no se calibran en esta tarea — quedan fijados para Sprint 4 (tareas 2.2.2/2.2.3), y así se documentó en ambos JSON schemas (campo pending_calibration) para que nadie los reemplace por un valor arbitrario antes de tiempo.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Tarea 1.1.4 se da por completada dentro de Sprint 1. Las tareas 1.1.2 (MR) y 1.1.3 (BF) del mismo sprint no están cubiertas por este documento — son responsabilidad de tus compañeros.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2026-08-23T01:23:31.665Z</dcterms:created>
  <dcterms:modified xsi:type="dcterms:W3CDTF">2026-08-23T01:23:31.667Z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