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CC5" w:rsidRPr="003C002E" w:rsidRDefault="00CB6CC5" w:rsidP="00CB6CC5">
      <w:pPr>
        <w:rPr>
          <w:rFonts w:ascii="Times New Roman" w:hAnsi="Times New Roman" w:cs="Times New Roman"/>
          <w:sz w:val="24"/>
        </w:rPr>
      </w:pPr>
      <w:r w:rsidRPr="003C002E">
        <w:rPr>
          <w:rFonts w:ascii="Times New Roman" w:hAnsi="Times New Roman" w:cs="Times New Roman"/>
          <w:sz w:val="24"/>
        </w:rPr>
        <w:t>Wojciech Krzaczek 184035</w:t>
      </w:r>
      <w:r w:rsidRPr="003C002E">
        <w:rPr>
          <w:rFonts w:ascii="Times New Roman" w:hAnsi="Times New Roman" w:cs="Times New Roman"/>
          <w:sz w:val="24"/>
        </w:rPr>
        <w:tab/>
      </w:r>
      <w:r w:rsidRPr="003C002E">
        <w:rPr>
          <w:rFonts w:ascii="Times New Roman" w:hAnsi="Times New Roman" w:cs="Times New Roman"/>
          <w:sz w:val="24"/>
        </w:rPr>
        <w:tab/>
      </w:r>
      <w:r w:rsidRPr="003C002E">
        <w:rPr>
          <w:rFonts w:ascii="Times New Roman" w:hAnsi="Times New Roman" w:cs="Times New Roman"/>
          <w:sz w:val="24"/>
        </w:rPr>
        <w:tab/>
      </w:r>
      <w:r w:rsidRPr="003C002E">
        <w:rPr>
          <w:rFonts w:ascii="Times New Roman" w:hAnsi="Times New Roman" w:cs="Times New Roman"/>
          <w:sz w:val="24"/>
        </w:rPr>
        <w:tab/>
      </w:r>
      <w:r w:rsidRPr="003C002E">
        <w:rPr>
          <w:rFonts w:ascii="Times New Roman" w:hAnsi="Times New Roman" w:cs="Times New Roman"/>
          <w:sz w:val="24"/>
        </w:rPr>
        <w:tab/>
      </w:r>
      <w:r w:rsidRPr="003C002E">
        <w:rPr>
          <w:rFonts w:ascii="Times New Roman" w:hAnsi="Times New Roman" w:cs="Times New Roman"/>
          <w:sz w:val="24"/>
        </w:rPr>
        <w:tab/>
      </w:r>
      <w:r w:rsidRPr="003C002E">
        <w:rPr>
          <w:rFonts w:ascii="Times New Roman" w:hAnsi="Times New Roman" w:cs="Times New Roman"/>
          <w:sz w:val="24"/>
        </w:rPr>
        <w:tab/>
      </w:r>
      <w:r w:rsidRPr="003C002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24</w:t>
      </w:r>
      <w:r w:rsidRPr="003C002E">
        <w:rPr>
          <w:rFonts w:ascii="Times New Roman" w:hAnsi="Times New Roman" w:cs="Times New Roman"/>
          <w:sz w:val="24"/>
        </w:rPr>
        <w:t>.0</w:t>
      </w:r>
      <w:r>
        <w:rPr>
          <w:rFonts w:ascii="Times New Roman" w:hAnsi="Times New Roman" w:cs="Times New Roman"/>
          <w:sz w:val="24"/>
        </w:rPr>
        <w:t>4</w:t>
      </w:r>
      <w:r w:rsidRPr="003C002E">
        <w:rPr>
          <w:rFonts w:ascii="Times New Roman" w:hAnsi="Times New Roman" w:cs="Times New Roman"/>
          <w:sz w:val="24"/>
        </w:rPr>
        <w:t>.2012r</w:t>
      </w:r>
    </w:p>
    <w:p w:rsidR="00CB6CC5" w:rsidRPr="00315E51" w:rsidRDefault="00CB6CC5" w:rsidP="00CB6CC5">
      <w:pPr>
        <w:rPr>
          <w:rFonts w:ascii="Times New Roman" w:hAnsi="Times New Roman" w:cs="Times New Roman"/>
        </w:rPr>
      </w:pPr>
    </w:p>
    <w:p w:rsidR="00CB6CC5" w:rsidRPr="00826B13" w:rsidRDefault="00CB6CC5" w:rsidP="00CB6CC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26B13">
        <w:rPr>
          <w:rFonts w:ascii="Times New Roman" w:hAnsi="Times New Roman" w:cs="Times New Roman"/>
          <w:b/>
          <w:sz w:val="28"/>
          <w:szCs w:val="32"/>
        </w:rPr>
        <w:t>Projektowanie algorytmów i metody sztucznej inteligencji</w:t>
      </w:r>
    </w:p>
    <w:p w:rsidR="00217F0A" w:rsidRDefault="00CB6CC5" w:rsidP="00CB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6CC5">
        <w:rPr>
          <w:rFonts w:ascii="Times New Roman" w:hAnsi="Times New Roman" w:cs="Times New Roman"/>
          <w:b/>
          <w:sz w:val="28"/>
          <w:szCs w:val="24"/>
        </w:rPr>
        <w:t xml:space="preserve">Lista nr 3: </w:t>
      </w:r>
      <w:r w:rsidRPr="00CB6CC5">
        <w:rPr>
          <w:rFonts w:ascii="Times New Roman" w:hAnsi="Times New Roman" w:cs="Times New Roman"/>
          <w:b/>
          <w:sz w:val="28"/>
          <w:szCs w:val="24"/>
        </w:rPr>
        <w:t>analiza efektywności algorytmów wyznaczających minimalne drzewo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B6CC5">
        <w:rPr>
          <w:rFonts w:ascii="Times New Roman" w:hAnsi="Times New Roman" w:cs="Times New Roman"/>
          <w:b/>
          <w:sz w:val="28"/>
          <w:szCs w:val="24"/>
        </w:rPr>
        <w:t>rozpinające</w:t>
      </w:r>
      <w:r>
        <w:rPr>
          <w:rFonts w:ascii="Times New Roman" w:hAnsi="Times New Roman" w:cs="Times New Roman"/>
          <w:b/>
          <w:sz w:val="28"/>
          <w:szCs w:val="24"/>
        </w:rPr>
        <w:t>.</w:t>
      </w:r>
    </w:p>
    <w:p w:rsidR="003B18C8" w:rsidRDefault="003B18C8" w:rsidP="00CB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B18C8" w:rsidRDefault="003B18C8" w:rsidP="00CB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B18C8" w:rsidRDefault="003B18C8" w:rsidP="00CB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B18C8" w:rsidRDefault="003B18C8" w:rsidP="00CB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B18C8" w:rsidRPr="003B18C8" w:rsidRDefault="003B18C8" w:rsidP="00CB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B18C8" w:rsidRDefault="003B18C8" w:rsidP="003B18C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Wprowadzenie</w:t>
      </w:r>
    </w:p>
    <w:p w:rsidR="007B599D" w:rsidRDefault="007B599D" w:rsidP="007B599D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6"/>
        </w:rPr>
      </w:pPr>
    </w:p>
    <w:p w:rsidR="007B599D" w:rsidRDefault="007B599D" w:rsidP="007B599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</w:rPr>
      </w:pPr>
      <w:r w:rsidRPr="007B599D">
        <w:rPr>
          <w:rFonts w:ascii="Times New Roman" w:hAnsi="Times New Roman" w:cs="Times New Roman"/>
          <w:sz w:val="24"/>
        </w:rPr>
        <w:t xml:space="preserve">Celem laboratorium było zbadanie złożoności obliczeniowej algorytmów szukających </w:t>
      </w:r>
      <w:r>
        <w:rPr>
          <w:rFonts w:ascii="Times New Roman" w:hAnsi="Times New Roman" w:cs="Times New Roman"/>
          <w:sz w:val="24"/>
        </w:rPr>
        <w:t xml:space="preserve">Minimalnego Drzewa Rozpinającego(MDR), czyli podgrafu zawierającego wszystkie wierzchołki drzewa połączone, którego waga jest najmniejsza. Testowane były dwa algorytmy Kuskala i Prima dla 10, 30, 50, 100, 200 i 300 wierzchołków oraz o gęstości </w:t>
      </w:r>
      <w:r w:rsidR="005619DC">
        <w:rPr>
          <w:rFonts w:ascii="Times New Roman" w:hAnsi="Times New Roman" w:cs="Times New Roman"/>
          <w:sz w:val="24"/>
        </w:rPr>
        <w:t>równej</w:t>
      </w:r>
      <w:r>
        <w:rPr>
          <w:rFonts w:ascii="Times New Roman" w:hAnsi="Times New Roman" w:cs="Times New Roman"/>
          <w:sz w:val="24"/>
        </w:rPr>
        <w:t xml:space="preserve"> 100%, 75%, 50%</w:t>
      </w:r>
      <w:r w:rsidR="00396461">
        <w:rPr>
          <w:rFonts w:ascii="Times New Roman" w:hAnsi="Times New Roman" w:cs="Times New Roman"/>
          <w:sz w:val="24"/>
        </w:rPr>
        <w:t xml:space="preserve"> i</w:t>
      </w:r>
      <w:r>
        <w:rPr>
          <w:rFonts w:ascii="Times New Roman" w:hAnsi="Times New Roman" w:cs="Times New Roman"/>
          <w:sz w:val="24"/>
        </w:rPr>
        <w:t xml:space="preserve"> 25%.</w:t>
      </w:r>
    </w:p>
    <w:p w:rsidR="005619DC" w:rsidRPr="007B599D" w:rsidRDefault="005619DC" w:rsidP="007B599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Czas działania algorytmu jest podany w milisekundach i był mierzony funkcją czas() z biblioteki time.h.</w:t>
      </w:r>
    </w:p>
    <w:p w:rsidR="003B18C8" w:rsidRDefault="003B18C8" w:rsidP="003B1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</w:rPr>
      </w:pPr>
    </w:p>
    <w:p w:rsidR="003B18C8" w:rsidRDefault="003B18C8" w:rsidP="003B18C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Badane algorytmy</w:t>
      </w:r>
    </w:p>
    <w:p w:rsidR="003B18C8" w:rsidRDefault="003B18C8" w:rsidP="003B18C8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</w:rPr>
      </w:pPr>
    </w:p>
    <w:p w:rsidR="003B18C8" w:rsidRPr="007B599D" w:rsidRDefault="003B18C8" w:rsidP="003B18C8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B599D">
        <w:rPr>
          <w:rFonts w:ascii="Times New Roman" w:hAnsi="Times New Roman" w:cs="Times New Roman"/>
          <w:sz w:val="24"/>
        </w:rPr>
        <w:t>Algorytm Kruskala</w:t>
      </w:r>
    </w:p>
    <w:p w:rsidR="002A19C8" w:rsidRDefault="002A19C8" w:rsidP="002A19C8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2A19C8" w:rsidRDefault="002A19C8" w:rsidP="002A19C8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</w:t>
      </w:r>
      <w:r w:rsidRPr="002A1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yznacza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</w:t>
      </w:r>
      <w:r w:rsidRPr="002A19C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A19C8">
        <w:rPr>
          <w:rFonts w:ascii="Times New Roman" w:hAnsi="Times New Roman" w:cs="Times New Roman"/>
          <w:sz w:val="24"/>
          <w:szCs w:val="24"/>
          <w:shd w:val="clear" w:color="auto" w:fill="FFFFFF"/>
        </w:rPr>
        <w:t>minimalne drzewo rozpinające</w:t>
      </w:r>
      <w:r w:rsidRPr="002A19C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A1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dla grafu nieskierowanego ważonego, o ile jest on spójny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Polega no dołączaniu kolejno krawędzi w porządku ich niemalejących wag o ile dołączona krawędź nie utworzy cyklu z wybranymi już krawędziami.</w:t>
      </w:r>
    </w:p>
    <w:p w:rsidR="002A19C8" w:rsidRDefault="002A19C8" w:rsidP="002A19C8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19C8" w:rsidRDefault="002A19C8" w:rsidP="002A19C8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Złożoność obliczeniowa: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O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E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*log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V</m:t>
                </m:r>
              </m:e>
            </m:d>
          </m:e>
        </m:d>
      </m:oMath>
    </w:p>
    <w:p w:rsidR="00CD6354" w:rsidRDefault="00CD6354" w:rsidP="002A19C8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</w:p>
    <w:p w:rsidR="00CD6354" w:rsidRDefault="00CD6354" w:rsidP="002A19C8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Wyniki szukania MDR prezentują się następująco:</w:t>
      </w:r>
    </w:p>
    <w:p w:rsidR="00CD6354" w:rsidRDefault="00CD6354" w:rsidP="002A19C8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</w:p>
    <w:p w:rsidR="00CD6354" w:rsidRPr="00CD6354" w:rsidRDefault="00CD6354" w:rsidP="00CD6354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Dla Macierzy Wag</w:t>
      </w:r>
    </w:p>
    <w:p w:rsidR="00CD6354" w:rsidRDefault="00CD6354" w:rsidP="00CD6354">
      <w:pPr>
        <w:pStyle w:val="Akapitzlist"/>
        <w:autoSpaceDE w:val="0"/>
        <w:autoSpaceDN w:val="0"/>
        <w:adjustRightInd w:val="0"/>
        <w:spacing w:after="0" w:line="240" w:lineRule="auto"/>
        <w:ind w:left="180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Tabela-Siatka"/>
        <w:tblW w:w="4627" w:type="dxa"/>
        <w:jc w:val="center"/>
        <w:tblLook w:val="04A0" w:firstRow="1" w:lastRow="0" w:firstColumn="1" w:lastColumn="0" w:noHBand="0" w:noVBand="1"/>
      </w:tblPr>
      <w:tblGrid>
        <w:gridCol w:w="1559"/>
        <w:gridCol w:w="818"/>
        <w:gridCol w:w="772"/>
        <w:gridCol w:w="772"/>
        <w:gridCol w:w="706"/>
      </w:tblGrid>
      <w:tr w:rsidR="009F411F" w:rsidRPr="009F411F" w:rsidTr="007E747E">
        <w:trPr>
          <w:trHeight w:val="300"/>
          <w:jc w:val="center"/>
        </w:trPr>
        <w:tc>
          <w:tcPr>
            <w:tcW w:w="1559" w:type="dxa"/>
            <w:noWrap/>
            <w:vAlign w:val="center"/>
            <w:hideMark/>
          </w:tcPr>
          <w:p w:rsidR="009F411F" w:rsidRDefault="009F411F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Ilość</w:t>
            </w:r>
          </w:p>
          <w:p w:rsidR="009F411F" w:rsidRPr="009F411F" w:rsidRDefault="009F411F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wierzchołków</w:t>
            </w:r>
          </w:p>
        </w:tc>
        <w:tc>
          <w:tcPr>
            <w:tcW w:w="818" w:type="dxa"/>
            <w:noWrap/>
            <w:vAlign w:val="center"/>
            <w:hideMark/>
          </w:tcPr>
          <w:p w:rsidR="009F411F" w:rsidRPr="009F411F" w:rsidRDefault="009F411F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772" w:type="dxa"/>
            <w:noWrap/>
            <w:vAlign w:val="center"/>
            <w:hideMark/>
          </w:tcPr>
          <w:p w:rsidR="009F411F" w:rsidRPr="009F411F" w:rsidRDefault="009F411F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772" w:type="dxa"/>
            <w:noWrap/>
            <w:vAlign w:val="center"/>
            <w:hideMark/>
          </w:tcPr>
          <w:p w:rsidR="009F411F" w:rsidRPr="009F411F" w:rsidRDefault="009F411F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706" w:type="dxa"/>
            <w:noWrap/>
            <w:vAlign w:val="center"/>
            <w:hideMark/>
          </w:tcPr>
          <w:p w:rsidR="009F411F" w:rsidRPr="009F411F" w:rsidRDefault="009F411F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</w:tr>
      <w:tr w:rsidR="009F411F" w:rsidRPr="009F411F" w:rsidTr="009F411F">
        <w:trPr>
          <w:trHeight w:val="300"/>
          <w:jc w:val="center"/>
        </w:trPr>
        <w:tc>
          <w:tcPr>
            <w:tcW w:w="1559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18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72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72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06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9F411F" w:rsidRPr="009F411F" w:rsidTr="009F411F">
        <w:trPr>
          <w:trHeight w:val="300"/>
          <w:jc w:val="center"/>
        </w:trPr>
        <w:tc>
          <w:tcPr>
            <w:tcW w:w="1559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818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72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72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06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9F411F" w:rsidRPr="009F411F" w:rsidTr="009F411F">
        <w:trPr>
          <w:trHeight w:val="300"/>
          <w:jc w:val="center"/>
        </w:trPr>
        <w:tc>
          <w:tcPr>
            <w:tcW w:w="1559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818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72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72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6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9F411F" w:rsidRPr="009F411F" w:rsidTr="009F411F">
        <w:trPr>
          <w:trHeight w:val="300"/>
          <w:jc w:val="center"/>
        </w:trPr>
        <w:tc>
          <w:tcPr>
            <w:tcW w:w="1559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818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772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772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06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9F411F" w:rsidRPr="009F411F" w:rsidTr="009F411F">
        <w:trPr>
          <w:trHeight w:val="300"/>
          <w:jc w:val="center"/>
        </w:trPr>
        <w:tc>
          <w:tcPr>
            <w:tcW w:w="1559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818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1082</w:t>
            </w:r>
          </w:p>
        </w:tc>
        <w:tc>
          <w:tcPr>
            <w:tcW w:w="772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506</w:t>
            </w:r>
          </w:p>
        </w:tc>
        <w:tc>
          <w:tcPr>
            <w:tcW w:w="772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188</w:t>
            </w:r>
          </w:p>
        </w:tc>
        <w:tc>
          <w:tcPr>
            <w:tcW w:w="706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</w:tr>
      <w:tr w:rsidR="009F411F" w:rsidRPr="009F411F" w:rsidTr="009F411F">
        <w:trPr>
          <w:trHeight w:val="315"/>
          <w:jc w:val="center"/>
        </w:trPr>
        <w:tc>
          <w:tcPr>
            <w:tcW w:w="1559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818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8445</w:t>
            </w:r>
          </w:p>
        </w:tc>
        <w:tc>
          <w:tcPr>
            <w:tcW w:w="772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4195</w:t>
            </w:r>
          </w:p>
        </w:tc>
        <w:tc>
          <w:tcPr>
            <w:tcW w:w="772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1534</w:t>
            </w:r>
          </w:p>
        </w:tc>
        <w:tc>
          <w:tcPr>
            <w:tcW w:w="706" w:type="dxa"/>
            <w:noWrap/>
            <w:hideMark/>
          </w:tcPr>
          <w:p w:rsidR="009F411F" w:rsidRPr="009F411F" w:rsidRDefault="009F411F" w:rsidP="009F411F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F411F">
              <w:rPr>
                <w:rFonts w:ascii="Calibri" w:eastAsia="Times New Roman" w:hAnsi="Calibri" w:cs="Calibri"/>
                <w:color w:val="000000"/>
                <w:lang w:eastAsia="pl-PL"/>
              </w:rPr>
              <w:t>248</w:t>
            </w:r>
          </w:p>
        </w:tc>
      </w:tr>
    </w:tbl>
    <w:p w:rsidR="00CD6354" w:rsidRDefault="00CD6354" w:rsidP="00CD6354">
      <w:pPr>
        <w:pStyle w:val="Akapitzlist"/>
        <w:autoSpaceDE w:val="0"/>
        <w:autoSpaceDN w:val="0"/>
        <w:adjustRightInd w:val="0"/>
        <w:spacing w:after="0" w:line="240" w:lineRule="auto"/>
        <w:ind w:left="180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</w:p>
    <w:p w:rsidR="009F411F" w:rsidRDefault="009F411F" w:rsidP="009F411F">
      <w:pPr>
        <w:pStyle w:val="Akapitzlist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pl-PL"/>
        </w:rPr>
        <w:lastRenderedPageBreak/>
        <w:drawing>
          <wp:inline distT="0" distB="0" distL="0" distR="0" wp14:anchorId="75A7DE19" wp14:editId="5AFBB8B7">
            <wp:extent cx="4572000" cy="2733675"/>
            <wp:effectExtent l="0" t="0" r="19050" b="952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536F4" w:rsidRPr="006536F4" w:rsidRDefault="006536F4" w:rsidP="006536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6354" w:rsidRPr="002A19C8" w:rsidRDefault="00CD6354" w:rsidP="00CD6354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Dla Połączonych List Sąsiadów</w:t>
      </w:r>
    </w:p>
    <w:p w:rsidR="002A19C8" w:rsidRDefault="002A19C8" w:rsidP="002A19C8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</w:rPr>
      </w:pPr>
    </w:p>
    <w:tbl>
      <w:tblPr>
        <w:tblStyle w:val="Tabela-Siatka"/>
        <w:tblW w:w="3729" w:type="dxa"/>
        <w:jc w:val="center"/>
        <w:tblLook w:val="04A0" w:firstRow="1" w:lastRow="0" w:firstColumn="1" w:lastColumn="0" w:noHBand="0" w:noVBand="1"/>
      </w:tblPr>
      <w:tblGrid>
        <w:gridCol w:w="1450"/>
        <w:gridCol w:w="818"/>
        <w:gridCol w:w="772"/>
        <w:gridCol w:w="772"/>
        <w:gridCol w:w="706"/>
      </w:tblGrid>
      <w:tr w:rsidR="00CD6354" w:rsidRPr="00CD6354" w:rsidTr="007E747E">
        <w:trPr>
          <w:trHeight w:val="300"/>
          <w:jc w:val="center"/>
        </w:trPr>
        <w:tc>
          <w:tcPr>
            <w:tcW w:w="661" w:type="dxa"/>
            <w:noWrap/>
            <w:vAlign w:val="center"/>
            <w:hideMark/>
          </w:tcPr>
          <w:p w:rsidR="00CD6354" w:rsidRPr="00CD6354" w:rsidRDefault="00CD6354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Ilość wierzchołków</w:t>
            </w:r>
          </w:p>
        </w:tc>
        <w:tc>
          <w:tcPr>
            <w:tcW w:w="818" w:type="dxa"/>
            <w:noWrap/>
            <w:vAlign w:val="center"/>
            <w:hideMark/>
          </w:tcPr>
          <w:p w:rsidR="00CD6354" w:rsidRPr="00CD6354" w:rsidRDefault="00CD6354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772" w:type="dxa"/>
            <w:noWrap/>
            <w:vAlign w:val="center"/>
            <w:hideMark/>
          </w:tcPr>
          <w:p w:rsidR="00CD6354" w:rsidRPr="00CD6354" w:rsidRDefault="00CD6354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772" w:type="dxa"/>
            <w:noWrap/>
            <w:vAlign w:val="center"/>
            <w:hideMark/>
          </w:tcPr>
          <w:p w:rsidR="00CD6354" w:rsidRPr="00CD6354" w:rsidRDefault="00CD6354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706" w:type="dxa"/>
            <w:noWrap/>
            <w:vAlign w:val="center"/>
            <w:hideMark/>
          </w:tcPr>
          <w:p w:rsidR="00CD6354" w:rsidRPr="00CD6354" w:rsidRDefault="00CD6354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</w:tr>
      <w:tr w:rsidR="00CD6354" w:rsidRPr="00CD6354" w:rsidTr="00CD6354">
        <w:trPr>
          <w:trHeight w:val="300"/>
          <w:jc w:val="center"/>
        </w:trPr>
        <w:tc>
          <w:tcPr>
            <w:tcW w:w="661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18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72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72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06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D6354" w:rsidRPr="00CD6354" w:rsidTr="00CD6354">
        <w:trPr>
          <w:trHeight w:val="300"/>
          <w:jc w:val="center"/>
        </w:trPr>
        <w:tc>
          <w:tcPr>
            <w:tcW w:w="661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818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72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72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06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D6354" w:rsidRPr="00CD6354" w:rsidTr="00CD6354">
        <w:trPr>
          <w:trHeight w:val="300"/>
          <w:jc w:val="center"/>
        </w:trPr>
        <w:tc>
          <w:tcPr>
            <w:tcW w:w="661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818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72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72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06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CD6354" w:rsidRPr="00CD6354" w:rsidTr="00CD6354">
        <w:trPr>
          <w:trHeight w:val="300"/>
          <w:jc w:val="center"/>
        </w:trPr>
        <w:tc>
          <w:tcPr>
            <w:tcW w:w="661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818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772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772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706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CD6354" w:rsidRPr="00CD6354" w:rsidTr="00CD6354">
        <w:trPr>
          <w:trHeight w:val="300"/>
          <w:jc w:val="center"/>
        </w:trPr>
        <w:tc>
          <w:tcPr>
            <w:tcW w:w="661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818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1220</w:t>
            </w:r>
          </w:p>
        </w:tc>
        <w:tc>
          <w:tcPr>
            <w:tcW w:w="772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586</w:t>
            </w:r>
          </w:p>
        </w:tc>
        <w:tc>
          <w:tcPr>
            <w:tcW w:w="772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219</w:t>
            </w:r>
          </w:p>
        </w:tc>
        <w:tc>
          <w:tcPr>
            <w:tcW w:w="706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</w:tr>
      <w:tr w:rsidR="00CD6354" w:rsidRPr="00CD6354" w:rsidTr="00CD6354">
        <w:trPr>
          <w:trHeight w:val="315"/>
          <w:jc w:val="center"/>
        </w:trPr>
        <w:tc>
          <w:tcPr>
            <w:tcW w:w="661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818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8448</w:t>
            </w:r>
          </w:p>
        </w:tc>
        <w:tc>
          <w:tcPr>
            <w:tcW w:w="772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4477</w:t>
            </w:r>
          </w:p>
        </w:tc>
        <w:tc>
          <w:tcPr>
            <w:tcW w:w="772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1688</w:t>
            </w:r>
          </w:p>
        </w:tc>
        <w:tc>
          <w:tcPr>
            <w:tcW w:w="706" w:type="dxa"/>
            <w:noWrap/>
            <w:hideMark/>
          </w:tcPr>
          <w:p w:rsidR="00CD6354" w:rsidRPr="00CD6354" w:rsidRDefault="00CD6354" w:rsidP="00CD635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354">
              <w:rPr>
                <w:rFonts w:ascii="Calibri" w:eastAsia="Times New Roman" w:hAnsi="Calibri" w:cs="Calibri"/>
                <w:color w:val="000000"/>
                <w:lang w:eastAsia="pl-PL"/>
              </w:rPr>
              <w:t>279</w:t>
            </w:r>
          </w:p>
        </w:tc>
      </w:tr>
    </w:tbl>
    <w:p w:rsidR="00CD6354" w:rsidRPr="006536F4" w:rsidRDefault="00CD6354" w:rsidP="006536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</w:rPr>
      </w:pPr>
    </w:p>
    <w:p w:rsidR="009F411F" w:rsidRDefault="009F411F" w:rsidP="009F411F">
      <w:pPr>
        <w:pStyle w:val="Akapitzlist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6"/>
        </w:rPr>
      </w:pPr>
      <w:r>
        <w:rPr>
          <w:noProof/>
          <w:lang w:eastAsia="pl-PL"/>
        </w:rPr>
        <w:drawing>
          <wp:inline distT="0" distB="0" distL="0" distR="0" wp14:anchorId="18273A22" wp14:editId="48721F08">
            <wp:extent cx="4572000" cy="2743200"/>
            <wp:effectExtent l="0" t="0" r="19050" b="1905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341EA" w:rsidRDefault="000341EA" w:rsidP="009F411F">
      <w:pPr>
        <w:pStyle w:val="Akapitzlist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6"/>
        </w:rPr>
      </w:pPr>
    </w:p>
    <w:p w:rsidR="000341EA" w:rsidRDefault="000341EA" w:rsidP="009F411F">
      <w:pPr>
        <w:pStyle w:val="Akapitzlist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6"/>
        </w:rPr>
      </w:pPr>
    </w:p>
    <w:p w:rsidR="006536F4" w:rsidRDefault="006536F4" w:rsidP="009F411F">
      <w:pPr>
        <w:pStyle w:val="Akapitzlist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6"/>
        </w:rPr>
      </w:pPr>
    </w:p>
    <w:p w:rsidR="006536F4" w:rsidRDefault="006536F4" w:rsidP="009F411F">
      <w:pPr>
        <w:pStyle w:val="Akapitzlist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6"/>
        </w:rPr>
      </w:pPr>
    </w:p>
    <w:p w:rsidR="006536F4" w:rsidRDefault="006536F4" w:rsidP="009F411F">
      <w:pPr>
        <w:pStyle w:val="Akapitzlist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6"/>
        </w:rPr>
      </w:pPr>
    </w:p>
    <w:p w:rsidR="003B18C8" w:rsidRPr="007B599D" w:rsidRDefault="003B18C8" w:rsidP="003B18C8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B599D">
        <w:rPr>
          <w:rFonts w:ascii="Times New Roman" w:hAnsi="Times New Roman" w:cs="Times New Roman"/>
          <w:sz w:val="24"/>
        </w:rPr>
        <w:lastRenderedPageBreak/>
        <w:t>Algorytm Prima</w:t>
      </w:r>
    </w:p>
    <w:p w:rsidR="007C3641" w:rsidRDefault="007C3641" w:rsidP="007C3641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</w:rPr>
      </w:pPr>
    </w:p>
    <w:p w:rsidR="009C2D54" w:rsidRDefault="009C2D54" w:rsidP="007C3641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Struktura składająca się z tablicy n list, gdzie lista dowiązana do komórki i-tej zawiera wszystkie krawędzie połączone z wierzchołkiem  i-tym.</w:t>
      </w:r>
    </w:p>
    <w:p w:rsidR="003703E7" w:rsidRDefault="003703E7" w:rsidP="007C3641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</w:rPr>
      </w:pPr>
    </w:p>
    <w:p w:rsidR="003703E7" w:rsidRDefault="003703E7" w:rsidP="007C3641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Złożoność obliczeniowa: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O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E*log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V</m:t>
                </m:r>
              </m:e>
            </m:d>
          </m:e>
        </m:d>
      </m:oMath>
    </w:p>
    <w:p w:rsidR="000341EA" w:rsidRDefault="000341EA" w:rsidP="007C3641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</w:rPr>
      </w:pPr>
    </w:p>
    <w:p w:rsidR="007E747E" w:rsidRDefault="007E747E" w:rsidP="007E747E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Wyniki szukania MDR prezentują się następująco:</w:t>
      </w:r>
    </w:p>
    <w:p w:rsidR="007E747E" w:rsidRDefault="007E747E" w:rsidP="007E747E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</w:p>
    <w:p w:rsidR="007E747E" w:rsidRPr="007E747E" w:rsidRDefault="007E747E" w:rsidP="007E747E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47E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Dla Macierzy Wag</w:t>
      </w:r>
    </w:p>
    <w:p w:rsidR="007E747E" w:rsidRDefault="007E747E" w:rsidP="007E7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4627" w:type="dxa"/>
        <w:jc w:val="center"/>
        <w:tblLook w:val="04A0" w:firstRow="1" w:lastRow="0" w:firstColumn="1" w:lastColumn="0" w:noHBand="0" w:noVBand="1"/>
      </w:tblPr>
      <w:tblGrid>
        <w:gridCol w:w="1559"/>
        <w:gridCol w:w="818"/>
        <w:gridCol w:w="772"/>
        <w:gridCol w:w="772"/>
        <w:gridCol w:w="706"/>
      </w:tblGrid>
      <w:tr w:rsidR="007E747E" w:rsidRPr="007E747E" w:rsidTr="007E747E">
        <w:trPr>
          <w:trHeight w:val="300"/>
          <w:jc w:val="center"/>
        </w:trPr>
        <w:tc>
          <w:tcPr>
            <w:tcW w:w="1559" w:type="dxa"/>
            <w:noWrap/>
            <w:vAlign w:val="center"/>
            <w:hideMark/>
          </w:tcPr>
          <w:p w:rsidR="007E747E" w:rsidRDefault="007E747E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Ilość</w:t>
            </w:r>
          </w:p>
          <w:p w:rsidR="007E747E" w:rsidRPr="007E747E" w:rsidRDefault="007E747E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wierzchołków</w:t>
            </w:r>
          </w:p>
        </w:tc>
        <w:tc>
          <w:tcPr>
            <w:tcW w:w="818" w:type="dxa"/>
            <w:noWrap/>
            <w:vAlign w:val="center"/>
            <w:hideMark/>
          </w:tcPr>
          <w:p w:rsidR="007E747E" w:rsidRPr="007E747E" w:rsidRDefault="007E747E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772" w:type="dxa"/>
            <w:noWrap/>
            <w:vAlign w:val="center"/>
            <w:hideMark/>
          </w:tcPr>
          <w:p w:rsidR="007E747E" w:rsidRPr="007E747E" w:rsidRDefault="007E747E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772" w:type="dxa"/>
            <w:noWrap/>
            <w:vAlign w:val="center"/>
            <w:hideMark/>
          </w:tcPr>
          <w:p w:rsidR="007E747E" w:rsidRPr="007E747E" w:rsidRDefault="007E747E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706" w:type="dxa"/>
            <w:noWrap/>
            <w:vAlign w:val="center"/>
            <w:hideMark/>
          </w:tcPr>
          <w:p w:rsidR="007E747E" w:rsidRPr="007E747E" w:rsidRDefault="007E747E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</w:tr>
      <w:tr w:rsidR="007E747E" w:rsidRPr="007E747E" w:rsidTr="007E747E">
        <w:trPr>
          <w:trHeight w:val="300"/>
          <w:jc w:val="center"/>
        </w:trPr>
        <w:tc>
          <w:tcPr>
            <w:tcW w:w="1559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18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72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72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06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7E747E" w:rsidRPr="007E747E" w:rsidTr="007E747E">
        <w:trPr>
          <w:trHeight w:val="300"/>
          <w:jc w:val="center"/>
        </w:trPr>
        <w:tc>
          <w:tcPr>
            <w:tcW w:w="1559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818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72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72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06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7E747E" w:rsidRPr="007E747E" w:rsidTr="007E747E">
        <w:trPr>
          <w:trHeight w:val="300"/>
          <w:jc w:val="center"/>
        </w:trPr>
        <w:tc>
          <w:tcPr>
            <w:tcW w:w="1559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818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72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72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06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7E747E" w:rsidRPr="007E747E" w:rsidTr="007E747E">
        <w:trPr>
          <w:trHeight w:val="300"/>
          <w:jc w:val="center"/>
        </w:trPr>
        <w:tc>
          <w:tcPr>
            <w:tcW w:w="1559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818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772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772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06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7E747E" w:rsidRPr="007E747E" w:rsidTr="007E747E">
        <w:trPr>
          <w:trHeight w:val="300"/>
          <w:jc w:val="center"/>
        </w:trPr>
        <w:tc>
          <w:tcPr>
            <w:tcW w:w="1559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818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1051</w:t>
            </w:r>
          </w:p>
        </w:tc>
        <w:tc>
          <w:tcPr>
            <w:tcW w:w="772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507</w:t>
            </w:r>
          </w:p>
        </w:tc>
        <w:tc>
          <w:tcPr>
            <w:tcW w:w="772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188</w:t>
            </w:r>
          </w:p>
        </w:tc>
        <w:tc>
          <w:tcPr>
            <w:tcW w:w="706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</w:tr>
      <w:tr w:rsidR="007E747E" w:rsidRPr="007E747E" w:rsidTr="007E747E">
        <w:trPr>
          <w:trHeight w:val="315"/>
          <w:jc w:val="center"/>
        </w:trPr>
        <w:tc>
          <w:tcPr>
            <w:tcW w:w="1559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818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8324</w:t>
            </w:r>
          </w:p>
        </w:tc>
        <w:tc>
          <w:tcPr>
            <w:tcW w:w="772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4162</w:t>
            </w:r>
          </w:p>
        </w:tc>
        <w:tc>
          <w:tcPr>
            <w:tcW w:w="772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1478</w:t>
            </w:r>
          </w:p>
        </w:tc>
        <w:tc>
          <w:tcPr>
            <w:tcW w:w="706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245</w:t>
            </w:r>
          </w:p>
        </w:tc>
      </w:tr>
    </w:tbl>
    <w:p w:rsidR="007E747E" w:rsidRDefault="007E747E" w:rsidP="007E7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747E" w:rsidRPr="007E747E" w:rsidRDefault="007E747E" w:rsidP="007E74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D420BCC" wp14:editId="49CB791C">
            <wp:extent cx="4572000" cy="2743200"/>
            <wp:effectExtent l="0" t="0" r="19050" b="1905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E747E" w:rsidRPr="006536F4" w:rsidRDefault="007E747E" w:rsidP="006536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747E" w:rsidRPr="007E747E" w:rsidRDefault="007E747E" w:rsidP="007E747E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Dla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Połączonych List Sąsiadów</w:t>
      </w:r>
    </w:p>
    <w:p w:rsidR="007C3641" w:rsidRDefault="007C3641" w:rsidP="007C3641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</w:rPr>
      </w:pPr>
    </w:p>
    <w:tbl>
      <w:tblPr>
        <w:tblStyle w:val="Tabela-Siatka"/>
        <w:tblW w:w="5104" w:type="dxa"/>
        <w:jc w:val="center"/>
        <w:tblLook w:val="04A0" w:firstRow="1" w:lastRow="0" w:firstColumn="1" w:lastColumn="0" w:noHBand="0" w:noVBand="1"/>
      </w:tblPr>
      <w:tblGrid>
        <w:gridCol w:w="1450"/>
        <w:gridCol w:w="960"/>
        <w:gridCol w:w="960"/>
        <w:gridCol w:w="960"/>
        <w:gridCol w:w="960"/>
      </w:tblGrid>
      <w:tr w:rsidR="007E747E" w:rsidRPr="007E747E" w:rsidTr="007E747E">
        <w:trPr>
          <w:trHeight w:val="300"/>
          <w:jc w:val="center"/>
        </w:trPr>
        <w:tc>
          <w:tcPr>
            <w:tcW w:w="1264" w:type="dxa"/>
            <w:noWrap/>
            <w:vAlign w:val="center"/>
            <w:hideMark/>
          </w:tcPr>
          <w:p w:rsidR="007E747E" w:rsidRPr="007E747E" w:rsidRDefault="007E747E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ilość wierzchołków</w:t>
            </w:r>
          </w:p>
        </w:tc>
        <w:tc>
          <w:tcPr>
            <w:tcW w:w="960" w:type="dxa"/>
            <w:noWrap/>
            <w:vAlign w:val="center"/>
            <w:hideMark/>
          </w:tcPr>
          <w:p w:rsidR="007E747E" w:rsidRPr="007E747E" w:rsidRDefault="007E747E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960" w:type="dxa"/>
            <w:noWrap/>
            <w:vAlign w:val="center"/>
            <w:hideMark/>
          </w:tcPr>
          <w:p w:rsidR="007E747E" w:rsidRPr="007E747E" w:rsidRDefault="007E747E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960" w:type="dxa"/>
            <w:noWrap/>
            <w:vAlign w:val="center"/>
            <w:hideMark/>
          </w:tcPr>
          <w:p w:rsidR="007E747E" w:rsidRPr="007E747E" w:rsidRDefault="007E747E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960" w:type="dxa"/>
            <w:noWrap/>
            <w:vAlign w:val="center"/>
            <w:hideMark/>
          </w:tcPr>
          <w:p w:rsidR="007E747E" w:rsidRPr="007E747E" w:rsidRDefault="007E747E" w:rsidP="007E747E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</w:tr>
      <w:tr w:rsidR="007E747E" w:rsidRPr="007E747E" w:rsidTr="007E747E">
        <w:trPr>
          <w:trHeight w:val="300"/>
          <w:jc w:val="center"/>
        </w:trPr>
        <w:tc>
          <w:tcPr>
            <w:tcW w:w="1264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7E747E" w:rsidRPr="007E747E" w:rsidTr="007E747E">
        <w:trPr>
          <w:trHeight w:val="300"/>
          <w:jc w:val="center"/>
        </w:trPr>
        <w:tc>
          <w:tcPr>
            <w:tcW w:w="1264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7E747E" w:rsidRPr="007E747E" w:rsidTr="007E747E">
        <w:trPr>
          <w:trHeight w:val="300"/>
          <w:jc w:val="center"/>
        </w:trPr>
        <w:tc>
          <w:tcPr>
            <w:tcW w:w="1264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7E747E" w:rsidRPr="007E747E" w:rsidTr="007E747E">
        <w:trPr>
          <w:trHeight w:val="300"/>
          <w:jc w:val="center"/>
        </w:trPr>
        <w:tc>
          <w:tcPr>
            <w:tcW w:w="1264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7E747E" w:rsidRPr="007E747E" w:rsidTr="007E747E">
        <w:trPr>
          <w:trHeight w:val="300"/>
          <w:jc w:val="center"/>
        </w:trPr>
        <w:tc>
          <w:tcPr>
            <w:tcW w:w="1264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1263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599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215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</w:tr>
      <w:tr w:rsidR="007E747E" w:rsidRPr="007E747E" w:rsidTr="007E747E">
        <w:trPr>
          <w:trHeight w:val="315"/>
          <w:jc w:val="center"/>
        </w:trPr>
        <w:tc>
          <w:tcPr>
            <w:tcW w:w="1264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8481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4419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1690</w:t>
            </w:r>
          </w:p>
        </w:tc>
        <w:tc>
          <w:tcPr>
            <w:tcW w:w="960" w:type="dxa"/>
            <w:noWrap/>
            <w:hideMark/>
          </w:tcPr>
          <w:p w:rsidR="007E747E" w:rsidRPr="007E747E" w:rsidRDefault="007E747E" w:rsidP="007E747E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E747E">
              <w:rPr>
                <w:rFonts w:ascii="Calibri" w:eastAsia="Times New Roman" w:hAnsi="Calibri" w:cs="Calibri"/>
                <w:color w:val="000000"/>
                <w:lang w:eastAsia="pl-PL"/>
              </w:rPr>
              <w:t>291</w:t>
            </w:r>
          </w:p>
        </w:tc>
      </w:tr>
    </w:tbl>
    <w:p w:rsidR="007E747E" w:rsidRDefault="007E747E" w:rsidP="007C3641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</w:rPr>
      </w:pPr>
    </w:p>
    <w:p w:rsidR="007E747E" w:rsidRDefault="007E747E" w:rsidP="007E747E">
      <w:pPr>
        <w:pStyle w:val="Akapitzlist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6"/>
        </w:rPr>
      </w:pPr>
      <w:r>
        <w:rPr>
          <w:noProof/>
          <w:lang w:eastAsia="pl-PL"/>
        </w:rPr>
        <w:drawing>
          <wp:inline distT="0" distB="0" distL="0" distR="0" wp14:anchorId="19881134" wp14:editId="2C861C9B">
            <wp:extent cx="4572000" cy="2786062"/>
            <wp:effectExtent l="0" t="0" r="19050" b="14605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E747E" w:rsidRDefault="007E747E" w:rsidP="007E747E">
      <w:pPr>
        <w:pStyle w:val="Akapitzlist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6"/>
        </w:rPr>
      </w:pPr>
    </w:p>
    <w:p w:rsidR="007C3641" w:rsidRDefault="007C3641" w:rsidP="007C364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Wnioski</w:t>
      </w:r>
    </w:p>
    <w:p w:rsidR="006536F4" w:rsidRDefault="006536F4" w:rsidP="006536F4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</w:rPr>
      </w:pPr>
    </w:p>
    <w:p w:rsidR="006536F4" w:rsidRPr="00A061D6" w:rsidRDefault="00A061D6" w:rsidP="00A061D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Wyniki działań algorytmów są podobne co potwierdza to, że mają taką samą złożoność obliczeniową. </w:t>
      </w:r>
      <w:r w:rsidRPr="00A061D6">
        <w:rPr>
          <w:rFonts w:ascii="Times New Roman" w:hAnsi="Times New Roman" w:cs="Times New Roman"/>
          <w:sz w:val="24"/>
        </w:rPr>
        <w:t>Różnica jest zauważalna jedynie dla Macierzy Wag, gdzie algo</w:t>
      </w:r>
      <w:r>
        <w:rPr>
          <w:rFonts w:ascii="Times New Roman" w:hAnsi="Times New Roman" w:cs="Times New Roman"/>
          <w:sz w:val="24"/>
        </w:rPr>
        <w:t>rytm Prima jest nieco szybszy</w:t>
      </w:r>
      <w:r w:rsidRPr="00A061D6">
        <w:rPr>
          <w:rFonts w:ascii="Times New Roman" w:hAnsi="Times New Roman" w:cs="Times New Roman"/>
          <w:sz w:val="24"/>
        </w:rPr>
        <w:t xml:space="preserve"> od Kruskala.</w:t>
      </w:r>
      <w:r>
        <w:rPr>
          <w:rFonts w:ascii="Times New Roman" w:hAnsi="Times New Roman" w:cs="Times New Roman"/>
          <w:sz w:val="24"/>
        </w:rPr>
        <w:t xml:space="preserve"> Algorytmy pracują szybciej gdy gęstość grafu jest mniejsza, co jest zgodne z logiką, ponieważ należy wtedy wykonać mniej sprawdzeń krawędzi.</w:t>
      </w:r>
      <w:bookmarkStart w:id="0" w:name="_GoBack"/>
      <w:bookmarkEnd w:id="0"/>
    </w:p>
    <w:p w:rsidR="007C3641" w:rsidRPr="00A061D6" w:rsidRDefault="007C3641" w:rsidP="007C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7C3641" w:rsidRDefault="007C3641" w:rsidP="007C364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Literatura </w:t>
      </w:r>
    </w:p>
    <w:p w:rsidR="007C3641" w:rsidRDefault="007C3641" w:rsidP="007C3641">
      <w:pPr>
        <w:pStyle w:val="Akapitzlist"/>
        <w:autoSpaceDE w:val="0"/>
        <w:autoSpaceDN w:val="0"/>
        <w:adjustRightInd w:val="0"/>
        <w:spacing w:after="0" w:line="240" w:lineRule="auto"/>
      </w:pPr>
    </w:p>
    <w:p w:rsidR="007C3641" w:rsidRPr="007E747E" w:rsidRDefault="007C3641" w:rsidP="007C3641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</w:rPr>
      </w:pPr>
      <w:r w:rsidRPr="00A061D6">
        <w:t>http://pl.wikipedia.org/wiki/Algorytm_Kruskala</w:t>
      </w:r>
    </w:p>
    <w:p w:rsidR="007E747E" w:rsidRPr="007C3641" w:rsidRDefault="007E747E" w:rsidP="007C3641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</w:rPr>
      </w:pPr>
      <w:r>
        <w:t>Slajdy z wykładu</w:t>
      </w:r>
      <w:r w:rsidR="007B599D">
        <w:t xml:space="preserve"> Dr Krysiaka.</w:t>
      </w:r>
    </w:p>
    <w:p w:rsidR="007C3641" w:rsidRPr="007E747E" w:rsidRDefault="007C3641" w:rsidP="007E747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6"/>
        </w:rPr>
      </w:pPr>
    </w:p>
    <w:sectPr w:rsidR="007C3641" w:rsidRPr="007E7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485C"/>
    <w:multiLevelType w:val="hybridMultilevel"/>
    <w:tmpl w:val="97F0512C"/>
    <w:lvl w:ilvl="0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5579EC"/>
    <w:multiLevelType w:val="hybridMultilevel"/>
    <w:tmpl w:val="D266179E"/>
    <w:lvl w:ilvl="0" w:tplc="59AEEA86">
      <w:start w:val="1"/>
      <w:numFmt w:val="lowerLetter"/>
      <w:lvlText w:val="%1)"/>
      <w:lvlJc w:val="left"/>
      <w:pPr>
        <w:ind w:left="1800" w:hanging="360"/>
      </w:pPr>
      <w:rPr>
        <w:rFonts w:eastAsiaTheme="minorEastAsi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8A21938"/>
    <w:multiLevelType w:val="hybridMultilevel"/>
    <w:tmpl w:val="4F2CCE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060B0"/>
    <w:multiLevelType w:val="hybridMultilevel"/>
    <w:tmpl w:val="22905CAC"/>
    <w:lvl w:ilvl="0" w:tplc="C0CC0DAE">
      <w:start w:val="1"/>
      <w:numFmt w:val="lowerLetter"/>
      <w:lvlText w:val="%1)"/>
      <w:lvlJc w:val="left"/>
      <w:pPr>
        <w:ind w:left="1800" w:hanging="360"/>
      </w:pPr>
      <w:rPr>
        <w:rFonts w:eastAsiaTheme="minorEastAsi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CC5"/>
    <w:rsid w:val="000341EA"/>
    <w:rsid w:val="0017705C"/>
    <w:rsid w:val="001D7DEA"/>
    <w:rsid w:val="00217F0A"/>
    <w:rsid w:val="00284ED8"/>
    <w:rsid w:val="002A19C8"/>
    <w:rsid w:val="003703E7"/>
    <w:rsid w:val="00396461"/>
    <w:rsid w:val="003B18C8"/>
    <w:rsid w:val="005619DC"/>
    <w:rsid w:val="006536F4"/>
    <w:rsid w:val="007B599D"/>
    <w:rsid w:val="007C3641"/>
    <w:rsid w:val="007E747E"/>
    <w:rsid w:val="009C2D54"/>
    <w:rsid w:val="009F411F"/>
    <w:rsid w:val="00A061D6"/>
    <w:rsid w:val="00CB6CC5"/>
    <w:rsid w:val="00CD6354"/>
    <w:rsid w:val="00F6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6CC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18C8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2A19C8"/>
  </w:style>
  <w:style w:type="character" w:styleId="Hipercze">
    <w:name w:val="Hyperlink"/>
    <w:basedOn w:val="Domylnaczcionkaakapitu"/>
    <w:uiPriority w:val="99"/>
    <w:semiHidden/>
    <w:unhideWhenUsed/>
    <w:rsid w:val="002A19C8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705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6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6CC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18C8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2A19C8"/>
  </w:style>
  <w:style w:type="character" w:styleId="Hipercze">
    <w:name w:val="Hyperlink"/>
    <w:basedOn w:val="Domylnaczcionkaakapitu"/>
    <w:uiPriority w:val="99"/>
    <w:semiHidden/>
    <w:unhideWhenUsed/>
    <w:rsid w:val="002A19C8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705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6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WR\Pogramy\Programy%20c++\PAMSI\L3\badani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WR\Pogramy\Programy%20c++\PAMSI\L3\badani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WR\Pogramy\Programy%20c++\PAMSI\L3\badani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WR\Pogramy\Programy%20c++\PAMSI\L3\badani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MW!$B$1</c:f>
              <c:strCache>
                <c:ptCount val="1"/>
                <c:pt idx="0">
                  <c:v>100%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MW!$A$2:$A$7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</c:numCache>
            </c:numRef>
          </c:xVal>
          <c:yVal>
            <c:numRef>
              <c:f>MW!$B$2:$B$7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40</c:v>
                </c:pt>
                <c:pt idx="4">
                  <c:v>1082</c:v>
                </c:pt>
                <c:pt idx="5">
                  <c:v>8445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MW!$C$1</c:f>
              <c:strCache>
                <c:ptCount val="1"/>
                <c:pt idx="0">
                  <c:v>75%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MW!$A$2:$A$7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</c:numCache>
            </c:numRef>
          </c:xVal>
          <c:yVal>
            <c:numRef>
              <c:f>MW!$C$2:$C$7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23</c:v>
                </c:pt>
                <c:pt idx="4">
                  <c:v>506</c:v>
                </c:pt>
                <c:pt idx="5">
                  <c:v>4195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MW!$D$1</c:f>
              <c:strCache>
                <c:ptCount val="1"/>
                <c:pt idx="0">
                  <c:v>50%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MW!$A$2:$A$7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</c:numCache>
            </c:numRef>
          </c:xVal>
          <c:yVal>
            <c:numRef>
              <c:f>MW!$D$2:$D$7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10</c:v>
                </c:pt>
                <c:pt idx="4">
                  <c:v>188</c:v>
                </c:pt>
                <c:pt idx="5">
                  <c:v>1534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MW!$E$1</c:f>
              <c:strCache>
                <c:ptCount val="1"/>
                <c:pt idx="0">
                  <c:v>25%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MW!$A$2:$A$7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</c:numCache>
            </c:numRef>
          </c:xVal>
          <c:yVal>
            <c:numRef>
              <c:f>MW!$E$2:$E$7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48</c:v>
                </c:pt>
                <c:pt idx="5">
                  <c:v>248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071360"/>
        <c:axId val="198071936"/>
      </c:scatterChart>
      <c:valAx>
        <c:axId val="1980713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8071936"/>
        <c:crosses val="autoZero"/>
        <c:crossBetween val="midCat"/>
      </c:valAx>
      <c:valAx>
        <c:axId val="198071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8071360"/>
        <c:crosses val="autoZero"/>
        <c:crossBetween val="midCat"/>
      </c:valAx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LS!$C$1</c:f>
              <c:strCache>
                <c:ptCount val="1"/>
                <c:pt idx="0">
                  <c:v>75%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LS!$A$2:$A$7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</c:numCache>
            </c:numRef>
          </c:xVal>
          <c:yVal>
            <c:numRef>
              <c:f>LS!$C$2:$C$7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26</c:v>
                </c:pt>
                <c:pt idx="4">
                  <c:v>586</c:v>
                </c:pt>
                <c:pt idx="5">
                  <c:v>4477</c:v>
                </c:pt>
              </c:numCache>
            </c:numRef>
          </c:yVal>
          <c:smooth val="0"/>
        </c:ser>
        <c:ser>
          <c:idx val="0"/>
          <c:order val="0"/>
          <c:tx>
            <c:strRef>
              <c:f>LS!$B$1</c:f>
              <c:strCache>
                <c:ptCount val="1"/>
                <c:pt idx="0">
                  <c:v>100%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LS!$A$2:$A$7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</c:numCache>
            </c:numRef>
          </c:xVal>
          <c:yVal>
            <c:numRef>
              <c:f>LS!$B$2:$B$7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45</c:v>
                </c:pt>
                <c:pt idx="4">
                  <c:v>1220</c:v>
                </c:pt>
                <c:pt idx="5">
                  <c:v>8448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LS!$D$1</c:f>
              <c:strCache>
                <c:ptCount val="1"/>
                <c:pt idx="0">
                  <c:v>50%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LS!$A$2:$A$7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</c:numCache>
            </c:numRef>
          </c:xVal>
          <c:yVal>
            <c:numRef>
              <c:f>LS!$D$2:$D$7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11</c:v>
                </c:pt>
                <c:pt idx="4">
                  <c:v>219</c:v>
                </c:pt>
                <c:pt idx="5">
                  <c:v>1688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LS!$E$1</c:f>
              <c:strCache>
                <c:ptCount val="1"/>
                <c:pt idx="0">
                  <c:v>25%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LS!$A$2:$A$7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</c:numCache>
            </c:numRef>
          </c:xVal>
          <c:yVal>
            <c:numRef>
              <c:f>LS!$E$2:$E$7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50</c:v>
                </c:pt>
                <c:pt idx="5">
                  <c:v>279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073664"/>
        <c:axId val="198090752"/>
      </c:scatterChart>
      <c:valAx>
        <c:axId val="1980736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8090752"/>
        <c:crosses val="autoZero"/>
        <c:crossBetween val="midCat"/>
      </c:valAx>
      <c:valAx>
        <c:axId val="198090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8073664"/>
        <c:crosses val="autoZero"/>
        <c:crossBetween val="midCat"/>
      </c:valAx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MW!$B$11</c:f>
              <c:strCache>
                <c:ptCount val="1"/>
                <c:pt idx="0">
                  <c:v>100%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MW!$A$12:$A$17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</c:numCache>
            </c:numRef>
          </c:xVal>
          <c:yVal>
            <c:numRef>
              <c:f>MW!$B$12:$B$17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42</c:v>
                </c:pt>
                <c:pt idx="4">
                  <c:v>1051</c:v>
                </c:pt>
                <c:pt idx="5">
                  <c:v>8324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MW!$C$11</c:f>
              <c:strCache>
                <c:ptCount val="1"/>
                <c:pt idx="0">
                  <c:v>75%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MW!$A$12:$A$17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</c:numCache>
            </c:numRef>
          </c:xVal>
          <c:yVal>
            <c:numRef>
              <c:f>MW!$C$12:$C$17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22</c:v>
                </c:pt>
                <c:pt idx="4">
                  <c:v>507</c:v>
                </c:pt>
                <c:pt idx="5">
                  <c:v>4162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MW!$D$11</c:f>
              <c:strCache>
                <c:ptCount val="1"/>
                <c:pt idx="0">
                  <c:v>50%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MW!$A$12:$A$17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</c:numCache>
            </c:numRef>
          </c:xVal>
          <c:yVal>
            <c:numRef>
              <c:f>MW!$D$12:$D$17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</c:v>
                </c:pt>
                <c:pt idx="4">
                  <c:v>188</c:v>
                </c:pt>
                <c:pt idx="5">
                  <c:v>1478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MW!$E$11</c:f>
              <c:strCache>
                <c:ptCount val="1"/>
                <c:pt idx="0">
                  <c:v>25%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MW!$A$12:$A$17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</c:numCache>
            </c:numRef>
          </c:xVal>
          <c:yVal>
            <c:numRef>
              <c:f>MW!$E$12:$E$17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51</c:v>
                </c:pt>
                <c:pt idx="5">
                  <c:v>245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698112"/>
        <c:axId val="198698688"/>
      </c:scatterChart>
      <c:valAx>
        <c:axId val="198698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8698688"/>
        <c:crosses val="autoZero"/>
        <c:crossBetween val="midCat"/>
      </c:valAx>
      <c:valAx>
        <c:axId val="198698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8698112"/>
        <c:crosses val="autoZero"/>
        <c:crossBetween val="midCat"/>
      </c:valAx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[badania.xlsx]LS!$B$9</c:f>
              <c:strCache>
                <c:ptCount val="1"/>
                <c:pt idx="0">
                  <c:v>100%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[badania.xlsx]LS!$A$10:$A$15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</c:numCache>
            </c:numRef>
          </c:xVal>
          <c:yVal>
            <c:numRef>
              <c:f>[badania.xlsx]LS!$B$10:$B$15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45</c:v>
                </c:pt>
                <c:pt idx="4">
                  <c:v>1263</c:v>
                </c:pt>
                <c:pt idx="5">
                  <c:v>8481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[badania.xlsx]LS!$C$9</c:f>
              <c:strCache>
                <c:ptCount val="1"/>
                <c:pt idx="0">
                  <c:v>75%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[badania.xlsx]LS!$A$10:$A$15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</c:numCache>
            </c:numRef>
          </c:xVal>
          <c:yVal>
            <c:numRef>
              <c:f>[badania.xlsx]LS!$C$10:$C$15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25</c:v>
                </c:pt>
                <c:pt idx="4">
                  <c:v>599</c:v>
                </c:pt>
                <c:pt idx="5">
                  <c:v>4419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[badania.xlsx]LS!$D$9</c:f>
              <c:strCache>
                <c:ptCount val="1"/>
                <c:pt idx="0">
                  <c:v>50%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[badania.xlsx]LS!$A$10:$A$15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</c:numCache>
            </c:numRef>
          </c:xVal>
          <c:yVal>
            <c:numRef>
              <c:f>[badania.xlsx]LS!$D$10:$D$15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12</c:v>
                </c:pt>
                <c:pt idx="4">
                  <c:v>215</c:v>
                </c:pt>
                <c:pt idx="5">
                  <c:v>1690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[badania.xlsx]LS!$E$9</c:f>
              <c:strCache>
                <c:ptCount val="1"/>
                <c:pt idx="0">
                  <c:v>25%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[badania.xlsx]LS!$A$10:$A$15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</c:numCache>
            </c:numRef>
          </c:xVal>
          <c:yVal>
            <c:numRef>
              <c:f>[badania.xlsx]LS!$E$10:$E$15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56</c:v>
                </c:pt>
                <c:pt idx="5">
                  <c:v>291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700416"/>
        <c:axId val="198700992"/>
      </c:scatterChart>
      <c:valAx>
        <c:axId val="198700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8700992"/>
        <c:crosses val="autoZero"/>
        <c:crossBetween val="midCat"/>
      </c:valAx>
      <c:valAx>
        <c:axId val="198700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8700416"/>
        <c:crosses val="autoZero"/>
        <c:crossBetween val="midCat"/>
      </c:valAx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0AF20-8530-4107-B70C-88C46BFD5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341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Vatrax</dc:creator>
  <cp:lastModifiedBy>Vatrax</cp:lastModifiedBy>
  <cp:revision>12</cp:revision>
  <dcterms:created xsi:type="dcterms:W3CDTF">2012-04-24T07:26:00Z</dcterms:created>
  <dcterms:modified xsi:type="dcterms:W3CDTF">2012-04-24T09:22:00Z</dcterms:modified>
</cp:coreProperties>
</file>