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and Commerce Presentation Guide</w:t>
      </w:r>
    </w:p>
    <w:p>
      <w:pPr>
        <w:spacing w:after="180"/>
      </w:pPr>
      <w:r>
        <w:rPr>
          <w:rFonts w:ascii="Aptos" w:hAnsi="Aptos" w:eastAsia="Aptos"/>
          <w:color w:val="5F6F68"/>
          <w:sz w:val="23"/>
        </w:rPr>
        <w:t>Three member speaking script for the Exploratory Data Analysis final project</w:t>
      </w:r>
    </w:p>
    <w:p>
      <w:pPr>
        <w:pStyle w:val="SpeakerName"/>
      </w:pPr>
      <w:r>
        <w:t>Member 1   Project framing and data</w:t>
      </w:r>
    </w:p>
    <w:tbl>
      <w:tblPr>
        <w:tblW w:type="auto" w:w="0"/>
        <w:tblLayout w:type="fixed"/>
        <w:tblLook w:firstColumn="1" w:firstRow="1" w:lastColumn="0" w:lastRow="0" w:noHBand="0" w:noVBand="1" w:val="04A0"/>
      </w:tblPr>
      <w:tblGrid>
        <w:gridCol w:w="1944"/>
        <w:gridCol w:w="8280"/>
      </w:tblGrid>
      <w:tr>
        <w:trPr>
          <w:tblHeader w:val="true"/>
        </w:trPr>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Section</w:t>
            </w:r>
          </w:p>
        </w:tc>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Speaking target</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Opening</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35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Data design</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1 minute 35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Evidence rules</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50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Handoff</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15 seconds</w:t>
            </w:r>
          </w:p>
        </w:tc>
      </w:tr>
    </w:tbl>
    <w:p>
      <w:pPr>
        <w:spacing w:after="0"/>
      </w:pPr>
    </w:p>
    <w:p>
      <w:pPr>
        <w:pStyle w:val="Heading2"/>
        <w:keepNext/>
      </w:pPr>
      <w:r>
        <w:t>Speaking script</w:t>
      </w:r>
    </w:p>
    <w:p>
      <w:pPr>
        <w:pStyle w:val="BodyText"/>
      </w:pPr>
      <w:r>
        <w:rPr>
          <w:rFonts w:ascii="Aptos" w:hAnsi="Aptos" w:eastAsia="Aptos"/>
          <w:color w:val="17332D"/>
          <w:sz w:val="21"/>
        </w:rPr>
        <w:t>Good morning. Our project examines how weather relates to transportation and commercial activity. We rebuilt the analysis around a simple rule: every conclusion must match the quality and scope of the underlying evidence. Instead of forcing unrelated datasets into one business impact score, we treat them as four separate case studies that share the same exploratory workflow.</w:t>
      </w:r>
    </w:p>
    <w:p>
      <w:pPr>
        <w:pStyle w:val="BodyText"/>
      </w:pPr>
      <w:r>
        <w:rPr>
          <w:rFonts w:ascii="Aptos" w:hAnsi="Aptos" w:eastAsia="Aptos"/>
          <w:color w:val="17332D"/>
          <w:sz w:val="21"/>
        </w:rPr>
        <w:t>The first case is New York City Yellow Taxi activity. It contains 1,488 hourly observations from January 2023 and August 2026. These are two snapshots, so the long interval between them is shown as a break rather than a continuous trend. The second case is Citi Bike, with 120 daily observations from January through April 2023. Ride counts are observed, while any revenue estimate uses an explicit assumed fare.</w:t>
      </w:r>
    </w:p>
    <w:p>
      <w:pPr>
        <w:pStyle w:val="BodyText"/>
      </w:pPr>
      <w:r>
        <w:rPr>
          <w:rFonts w:ascii="Aptos" w:hAnsi="Aptos" w:eastAsia="Aptos"/>
          <w:color w:val="17332D"/>
          <w:sz w:val="21"/>
        </w:rPr>
        <w:t>The third case contains 305 days of United Kingdom online retail orders from December 2010 through December 2011. We pair these orders with London weather only as a regional proxy, because the transaction file does not provide a verified store location. The fourth case uses 27 quarters of Chipotle revenue reported in SEC filings. We could not create a defensible company-wide weather match, so the application disables weather-effect inference for that series.</w:t>
      </w:r>
    </w:p>
    <w:p>
      <w:pPr>
        <w:pStyle w:val="BodyText"/>
      </w:pPr>
      <w:r>
        <w:rPr>
          <w:rFonts w:ascii="Aptos" w:hAnsi="Aptos" w:eastAsia="Aptos"/>
          <w:color w:val="17332D"/>
          <w:sz w:val="21"/>
        </w:rPr>
        <w:t>This scorecard matters because geography, time cadence, outcome definitions, and sampling coverage differ across the four cases. We can compare the EDA process, but we should not rank their coefficients as though they came from one experiment. The dashboard also labels evidence as observed, modelled, estimated, or hypothetical. Missing observations stay missing in the academic analysis, and scenario controls stay outside the historical statistics.</w:t>
      </w:r>
    </w:p>
    <w:p>
      <w:pPr>
        <w:pStyle w:val="BodyText"/>
      </w:pPr>
      <w:r>
        <w:rPr>
          <w:rFonts w:ascii="Aptos" w:hAnsi="Aptos" w:eastAsia="Aptos"/>
          <w:b/>
          <w:color w:val="17332D"/>
          <w:sz w:val="21"/>
        </w:rPr>
        <w:t>Handoff to Member 2:</w:t>
      </w:r>
      <w:r>
        <w:rPr>
          <w:rFonts w:ascii="Aptos" w:hAnsi="Aptos" w:eastAsia="Aptos"/>
          <w:color w:val="17332D"/>
          <w:sz w:val="21"/>
        </w:rPr>
        <w:t xml:space="preserve"> With those boundaries established, the next stage is the actual EDA process: cleaning, transformations, association measures, and model validation.</w:t>
      </w:r>
    </w:p>
    <w:p>
      <w:r>
        <w:br w:type="page"/>
      </w:r>
    </w:p>
    <w:p>
      <w:pPr>
        <w:pStyle w:val="Title"/>
      </w:pPr>
      <w:r>
        <w:t>Member 2   EDA methods</w:t>
      </w:r>
    </w:p>
    <w:tbl>
      <w:tblPr>
        <w:tblW w:type="auto" w:w="0"/>
        <w:tblLayout w:type="fixed"/>
        <w:tblLook w:firstColumn="1" w:firstRow="1" w:lastColumn="0" w:lastRow="0" w:noHBand="0" w:noVBand="1" w:val="04A0"/>
      </w:tblPr>
      <w:tblGrid>
        <w:gridCol w:w="1944"/>
        <w:gridCol w:w="8280"/>
      </w:tblGrid>
      <w:tr>
        <w:trPr>
          <w:tblHeader w:val="true"/>
        </w:trPr>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Section</w:t>
            </w:r>
          </w:p>
        </w:tc>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Speaking target</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Cleaning</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55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Distributions</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55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Relationships</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1 minute</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Validation</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55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Handoff</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15 seconds</w:t>
            </w:r>
          </w:p>
        </w:tc>
      </w:tr>
    </w:tbl>
    <w:p>
      <w:pPr>
        <w:spacing w:after="0"/>
      </w:pPr>
    </w:p>
    <w:p>
      <w:pPr>
        <w:pStyle w:val="Heading2"/>
        <w:keepNext/>
      </w:pPr>
      <w:r>
        <w:t>Speaking script</w:t>
      </w:r>
    </w:p>
    <w:p>
      <w:pPr>
        <w:pStyle w:val="BodyText"/>
      </w:pPr>
      <w:r>
        <w:rPr>
          <w:rFonts w:ascii="Aptos" w:hAnsi="Aptos" w:eastAsia="Aptos"/>
          <w:color w:val="17332D"/>
          <w:sz w:val="21"/>
        </w:rPr>
        <w:t>Our preprocessing begins with the structure of each dataset. We convert dates to a consistent datetime type, verify numeric fields, count exact duplicates, measure missingness by variable and period, and reject impossible negative values where the definition cannot be negative. We describe likely missingness mechanisms rather than silently filling values. Most importantly, the SEC series retains its missing weather because a company-wide weather value would be artificial.</w:t>
      </w:r>
    </w:p>
    <w:p>
      <w:pPr>
        <w:pStyle w:val="BodyText"/>
      </w:pPr>
      <w:r>
        <w:rPr>
          <w:rFonts w:ascii="Aptos" w:hAnsi="Aptos" w:eastAsia="Aptos"/>
          <w:color w:val="17332D"/>
          <w:sz w:val="21"/>
        </w:rPr>
        <w:t>For outliers, we use two complementary methods. The IQR rule flags observations below the first quartile minus 1.5 times the interquartile range or above the third quartile plus 1.5 times the interquartile range. Isolation Forest adds a multivariate anomaly check. A flag does not automatically mean deletion. Heavy rain, holidays, or unusually high demand can be real events, so plausible extremes remain in the analysis and appear in the sensitivity checks.</w:t>
      </w:r>
    </w:p>
    <w:p>
      <w:pPr>
        <w:pStyle w:val="BodyText"/>
      </w:pPr>
      <w:r>
        <w:rPr>
          <w:rFonts w:ascii="Aptos" w:hAnsi="Aptos" w:eastAsia="Aptos"/>
          <w:color w:val="17332D"/>
          <w:sz w:val="21"/>
        </w:rPr>
        <w:t>Rainfall is strongly right-skewed because most periods have little or no rain and a few periods have much more. We therefore compare the raw measure with a log-one-plus transformation. This transformation keeps zero rainfall defined and compresses extreme values. It reduces sample skewness in all three weather-matched case studies, but we still report raw millimetres so the result remains interpretable.</w:t>
      </w:r>
    </w:p>
    <w:p>
      <w:pPr>
        <w:pStyle w:val="BodyText"/>
      </w:pPr>
      <w:r>
        <w:rPr>
          <w:rFonts w:ascii="Aptos" w:hAnsi="Aptos" w:eastAsia="Aptos"/>
          <w:color w:val="17332D"/>
          <w:sz w:val="21"/>
        </w:rPr>
        <w:t>We then measure bivariate association in two ways. Pearson correlation captures linear association on the original scale. Spearman correlation applies the same idea to ranks, making it useful when the relationship is monotonic or affected by extreme values. Agreement between the two measures strengthens the descriptive pattern, but neither measure proves causation.</w:t>
      </w:r>
    </w:p>
    <w:p>
      <w:pPr>
        <w:pStyle w:val="BodyText"/>
      </w:pPr>
      <w:r>
        <w:rPr>
          <w:rFonts w:ascii="Aptos" w:hAnsi="Aptos" w:eastAsia="Aptos"/>
          <w:color w:val="17332D"/>
          <w:sz w:val="21"/>
        </w:rPr>
        <w:t>The controlled analysis uses ordinary least squares with calendar and weather covariates. We report HC3 robust confidence intervals, p-values, R squared, Durbin Watson statistics, Breusch Pagan results, variance inflation factors, and chronological holdout error. The final 20 percent of time periods are reserved for testing. We also repeat the analysis without the top one percent of observations, within wet periods only, and with lagged weather. These checks reveal whether a conclusion survives reasonable analytical choices.</w:t>
      </w:r>
    </w:p>
    <w:p>
      <w:pPr>
        <w:pStyle w:val="BodyText"/>
      </w:pPr>
      <w:r>
        <w:rPr>
          <w:rFonts w:ascii="Aptos" w:hAnsi="Aptos" w:eastAsia="Aptos"/>
          <w:b/>
          <w:color w:val="17332D"/>
          <w:sz w:val="21"/>
        </w:rPr>
        <w:t>Handoff to Member 3:</w:t>
      </w:r>
      <w:r>
        <w:rPr>
          <w:rFonts w:ascii="Aptos" w:hAnsi="Aptos" w:eastAsia="Aptos"/>
          <w:color w:val="17332D"/>
          <w:sz w:val="21"/>
        </w:rPr>
        <w:t xml:space="preserve"> The final step is to interpret those statistics without claiming more than the data can support.</w:t>
      </w:r>
    </w:p>
    <w:p>
      <w:r>
        <w:br w:type="page"/>
      </w:r>
    </w:p>
    <w:p>
      <w:pPr>
        <w:pStyle w:val="Title"/>
      </w:pPr>
      <w:r>
        <w:t>Member 3   Findings and conclusion</w:t>
      </w:r>
    </w:p>
    <w:tbl>
      <w:tblPr>
        <w:tblW w:type="auto" w:w="0"/>
        <w:tblLayout w:type="fixed"/>
        <w:tblLook w:firstColumn="1" w:firstRow="1" w:lastColumn="0" w:lastRow="0" w:noHBand="0" w:noVBand="1" w:val="04A0"/>
      </w:tblPr>
      <w:tblGrid>
        <w:gridCol w:w="1944"/>
        <w:gridCol w:w="8280"/>
      </w:tblGrid>
      <w:tr>
        <w:trPr>
          <w:tblHeader w:val="true"/>
        </w:trPr>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Section</w:t>
            </w:r>
          </w:p>
        </w:tc>
        <w:tc>
          <w:tcPr>
            <w:tcW w:type="dxa" w:w="5083"/>
            <w:shd w:fill="17332D"/>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b/>
                <w:color w:val="FFFFFF"/>
                <w:sz w:val="18"/>
              </w:rPr>
              <w:t>Speaking target</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Main findings</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1 minute 35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Limitations</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55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Conclusion</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45 seconds</w:t>
            </w:r>
          </w:p>
        </w:tc>
      </w:tr>
      <w:tr>
        <w:tc>
          <w:tcPr>
            <w:tcW w:type="dxa" w:w="1944"/>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Demo close</w:t>
            </w:r>
          </w:p>
        </w:tc>
        <w:tc>
          <w:tcPr>
            <w:tcW w:type="dxa" w:w="8280"/>
            <w:tcBorders>
              <w:top w:val="single" w:sz="6" w:color="D9E4DF"/>
              <w:left w:val="single" w:sz="6" w:color="D9E4DF"/>
              <w:bottom w:val="single" w:sz="6" w:color="D9E4DF"/>
              <w:right w:val="single" w:sz="6" w:color="D9E4DF"/>
              <w:insideH w:val="single" w:sz="6" w:color="D9E4DF"/>
              <w:insideV w:val="single" w:sz="6" w:color="D9E4DF"/>
            </w:tcBorders>
            <w:tcMar>
              <w:top w:w="100" w:type="dxa"/>
              <w:start w:w="110" w:type="dxa"/>
              <w:bottom w:w="100" w:type="dxa"/>
              <w:end w:w="110" w:type="dxa"/>
            </w:tcMar>
          </w:tcPr>
          <w:p>
            <w:r>
              <w:rPr>
                <w:rFonts w:ascii="Aptos" w:hAnsi="Aptos" w:eastAsia="Aptos"/>
                <w:color w:val="17332D"/>
                <w:sz w:val="18"/>
              </w:rPr>
              <w:t>20 seconds</w:t>
            </w:r>
          </w:p>
        </w:tc>
      </w:tr>
    </w:tbl>
    <w:p>
      <w:pPr>
        <w:spacing w:after="0"/>
      </w:pPr>
    </w:p>
    <w:p>
      <w:pPr>
        <w:pStyle w:val="Heading2"/>
        <w:keepNext/>
      </w:pPr>
      <w:r>
        <w:t>Speaking script</w:t>
      </w:r>
    </w:p>
    <w:p>
      <w:pPr>
        <w:pStyle w:val="BodyText"/>
      </w:pPr>
      <w:r>
        <w:rPr>
          <w:rFonts w:ascii="Aptos" w:hAnsi="Aptos" w:eastAsia="Aptos"/>
          <w:color w:val="17332D"/>
          <w:sz w:val="21"/>
        </w:rPr>
        <w:t>The clearest result appears in Citi Bike. Pearson correlation between rain and rides is minus 0.415, while Spearman correlation is minus 0.346. After controlling for the available variables, the estimated rain coefficient is minus 35.12 rides per millimetre, with a robust 95 percent confidence interval from minus 52.10 to minus 18.15 and a p-value below 0.001. Within this sample, rain has a consistent negative association with daily rides.</w:t>
      </w:r>
    </w:p>
    <w:p>
      <w:pPr>
        <w:pStyle w:val="BodyText"/>
      </w:pPr>
      <w:r>
        <w:rPr>
          <w:rFonts w:ascii="Aptos" w:hAnsi="Aptos" w:eastAsia="Aptos"/>
          <w:color w:val="17332D"/>
          <w:sz w:val="21"/>
        </w:rPr>
        <w:t>The taxi result is much less certain. Its controlled coefficient is positive at 138.83 trips per millimetre, but the robust confidence interval ranges from minus 139.37 to positive 417.02 and the p-value is 0.328. Because the interval includes zero, we cannot confidently claim that rain increases taxi demand. The long gap between the two observed months also limits any broad time-series interpretation.</w:t>
      </w:r>
    </w:p>
    <w:p>
      <w:pPr>
        <w:pStyle w:val="BodyText"/>
      </w:pPr>
      <w:r>
        <w:rPr>
          <w:rFonts w:ascii="Aptos" w:hAnsi="Aptos" w:eastAsia="Aptos"/>
          <w:color w:val="17332D"/>
          <w:sz w:val="21"/>
        </w:rPr>
        <w:t>Online retail shows almost no simple association with rainfall. Pearson correlation is minus 0.024 and Spearman correlation is positive 0.016. The controlled rain coefficient also has a confidence interval that includes zero. In addition, London weather is only a proxy for transactions across the United Kingdom. The evidence does not support a local weather-effect claim. For Chipotle, the responsible result is no result: without defensible matched weather, the project reports revenue trends but disables weather inference.</w:t>
      </w:r>
    </w:p>
    <w:p>
      <w:pPr>
        <w:pStyle w:val="Heading2"/>
        <w:keepNext/>
      </w:pPr>
      <w:r>
        <w:t>Limitations to state clearly</w:t>
      </w:r>
    </w:p>
    <w:p>
      <w:pPr>
        <w:pStyle w:val="ListBullet"/>
        <w:ind w:left="317" w:hanging="202"/>
      </w:pPr>
      <w:r>
        <w:rPr>
          <w:rFonts w:ascii="Aptos" w:hAnsi="Aptos" w:eastAsia="Aptos"/>
          <w:color w:val="17332D"/>
          <w:sz w:val="20"/>
        </w:rPr>
        <w:t>These are observational case studies, so association does not establish causation or individual mode switching.</w:t>
      </w:r>
    </w:p>
    <w:p>
      <w:pPr>
        <w:pStyle w:val="ListBullet"/>
        <w:ind w:left="317" w:hanging="202"/>
      </w:pPr>
      <w:r>
        <w:rPr>
          <w:rFonts w:ascii="Aptos" w:hAnsi="Aptos" w:eastAsia="Aptos"/>
          <w:color w:val="17332D"/>
          <w:sz w:val="20"/>
        </w:rPr>
        <w:t>The datasets differ in geography, cadence, coverage, and outcome definition, so effect sizes should not be ranked directly.</w:t>
      </w:r>
    </w:p>
    <w:p>
      <w:pPr>
        <w:pStyle w:val="ListBullet"/>
        <w:ind w:left="317" w:hanging="202"/>
      </w:pPr>
      <w:r>
        <w:rPr>
          <w:rFonts w:ascii="Aptos" w:hAnsi="Aptos" w:eastAsia="Aptos"/>
          <w:color w:val="17332D"/>
          <w:sz w:val="20"/>
        </w:rPr>
        <w:t>Weather matching and proxy choices can introduce measurement error, while autocorrelation and heteroskedasticity remain visible in the diagnostics.</w:t>
      </w:r>
    </w:p>
    <w:p>
      <w:pPr>
        <w:pStyle w:val="BodyText"/>
      </w:pPr>
      <w:r>
        <w:rPr>
          <w:rFonts w:ascii="Aptos" w:hAnsi="Aptos" w:eastAsia="Aptos"/>
          <w:color w:val="17332D"/>
          <w:sz w:val="21"/>
        </w:rPr>
        <w:t>Our main contribution is the transparent workflow. Raw files remain separate from derived outputs, the notebook contains 12 executable stages, and the website displays the same calculations with visible formulas and evidence labels. Fifty-four automated tests currently verify the analytical and web behavior.</w:t>
      </w:r>
    </w:p>
    <w:p>
      <w:pPr>
        <w:pStyle w:val="BodyText"/>
      </w:pPr>
      <w:r>
        <w:rPr>
          <w:rFonts w:ascii="Aptos" w:hAnsi="Aptos" w:eastAsia="Aptos"/>
          <w:b/>
          <w:color w:val="17332D"/>
          <w:sz w:val="21"/>
        </w:rPr>
        <w:t>Closing statement:</w:t>
      </w:r>
      <w:r>
        <w:rPr>
          <w:rFonts w:ascii="Aptos" w:hAnsi="Aptos" w:eastAsia="Aptos"/>
          <w:color w:val="17332D"/>
          <w:sz w:val="21"/>
        </w:rPr>
        <w:t xml:space="preserve"> The project does not claim that weather always raises or lowers business activity. It shows where the observed data support a relationship, where the result remains uncertain, and where analysis should stop. That transparent uncertainty is our strongest conclusion.</w:t>
      </w:r>
    </w:p>
    <w:p>
      <w:pPr>
        <w:pStyle w:val="BodyText"/>
      </w:pPr>
      <w:r>
        <w:rPr>
          <w:rFonts w:ascii="Aptos" w:hAnsi="Aptos" w:eastAsia="Aptos"/>
          <w:b/>
          <w:color w:val="17332D"/>
          <w:sz w:val="21"/>
        </w:rPr>
        <w:t>Demo close:</w:t>
      </w:r>
      <w:r>
        <w:rPr>
          <w:rFonts w:ascii="Aptos" w:hAnsi="Aptos" w:eastAsia="Aptos"/>
          <w:color w:val="17332D"/>
          <w:sz w:val="21"/>
        </w:rPr>
        <w:t xml:space="preserve"> Open the Academic EDA page for the scorecard and findings, then use the Notebook Walkthrough to show the code, formulas, and outputs behind each conclusion.</w:t>
      </w:r>
    </w:p>
    <w:sectPr w:rsidR="00FC693F" w:rsidRPr="0006063C" w:rsidSect="00034616">
      <w:headerReference w:type="default" r:id="rId9"/>
      <w:headerReference w:type="even" r:id="rId10"/>
      <w:footerReference w:type="default" r:id="rId11"/>
      <w:footerReference w:type="even" r:id="rId12"/>
      <w:pgSz w:w="12240" w:h="15840"/>
      <w:pgMar w:top="893" w:right="1037" w:bottom="80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F6F68"/>
        <w:sz w:val="17"/>
      </w:rPr>
      <w:t xml:space="preserve">Presenter guide   </w:t>
    </w:r>
    <w:r>
      <w:rPr>
        <w:rFonts w:ascii="Aptos" w:hAnsi="Aptos" w:eastAsia="Aptos"/>
        <w:color w:val="5F6F68"/>
        <w:sz w:val="17"/>
      </w:rPr>
      <w:fldChar w:fldCharType="begin"/>
      <w:instrText xml:space="preserve">PAGE</w:instrText>
      <w:fldChar w:fldCharType="separate"/>
      <w:t>1</w:t>
      <w:fldChar w:fldCharType="end"/>
    </w:r>
    <w:r>
      <w:rPr>
        <w:rFonts w:ascii="Aptos" w:hAnsi="Aptos" w:eastAsia="Aptos"/>
        <w:color w:val="5F6F68"/>
        <w:sz w:val="17"/>
      </w:rPr>
      <w:t xml:space="preserve"> of 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F6F68"/>
        <w:sz w:val="17"/>
      </w:rPr>
      <w:t xml:space="preserve">Presenter guide   </w:t>
    </w:r>
    <w:r>
      <w:rPr>
        <w:rFonts w:ascii="Aptos" w:hAnsi="Aptos" w:eastAsia="Aptos"/>
        <w:color w:val="5F6F68"/>
        <w:sz w:val="17"/>
      </w:rPr>
      <w:fldChar w:fldCharType="begin"/>
      <w:instrText xml:space="preserve">PAGE</w:instrText>
      <w:fldChar w:fldCharType="separate"/>
      <w:t>1</w:t>
      <w:fldChar w:fldCharType="end"/>
    </w:r>
    <w:r>
      <w:rPr>
        <w:rFonts w:ascii="Aptos" w:hAnsi="Aptos" w:eastAsia="Aptos"/>
        <w:color w:val="5F6F68"/>
        <w:sz w:val="17"/>
      </w:rPr>
      <w:t xml:space="preserve"> of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5" w:space="3" w:color="D9E4DF"/>
      </w:pBdr>
    </w:pPr>
    <w:r>
      <w:rPr>
        <w:rFonts w:ascii="Aptos" w:hAnsi="Aptos" w:eastAsia="Aptos"/>
        <w:b/>
        <w:color w:val="087F71"/>
        <w:sz w:val="17"/>
      </w:rPr>
      <w:t>WEATHERBIZANALYSIS   EDA FINAL PROJECT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5" w:space="3" w:color="D9E4DF"/>
      </w:pBdr>
    </w:pPr>
    <w:r>
      <w:rPr>
        <w:rFonts w:ascii="Aptos" w:hAnsi="Aptos" w:eastAsia="Aptos"/>
        <w:b/>
        <w:color w:val="087F71"/>
        <w:sz w:val="17"/>
      </w:rPr>
      <w:t>WEATHERBIZANALYSIS   EDA FINAL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3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7" w:lineRule="auto"/>
    </w:pPr>
    <w:rPr>
      <w:rFonts w:ascii="Aptos" w:hAnsi="Aptos" w:eastAsia="Aptos"/>
      <w:color w:val="17332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Name">
    <w:name w:val="Speaker Name"/>
    <w:pPr>
      <w:spacing w:after="140"/>
    </w:pPr>
    <w:rPr>
      <w:rFonts w:ascii="Aptos Display" w:hAnsi="Aptos Display" w:eastAsia="Aptos Display"/>
      <w:b/>
      <w:color w:val="087F71"/>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