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Hindi Word Order Replication</w:t>
      </w:r>
    </w:p>
    <w:p>
      <w:pPr>
        <w:spacing w:after="40"/>
      </w:pPr>
      <w:r>
        <w:rPr>
          <w:color w:val="555555"/>
          <w:sz w:val="28"/>
          <w:szCs w:val="28"/>
        </w:rPr>
        <w:t xml:space="preserve">Project Analysis Report</w:t>
      </w:r>
    </w:p>
    <w:p>
      <w:pPr>
        <w:spacing w:after="400"/>
      </w:pPr>
      <w:r>
        <w:rPr>
          <w:i/>
          <w:iCs/>
          <w:color w:val="777777"/>
          <w:sz w:val="20"/>
          <w:szCs w:val="20"/>
        </w:rPr>
        <w:t xml:space="preserve">Prepared August 17, 2026</w:t>
      </w:r>
    </w:p>
    <w:p>
      <w:pPr>
        <w:pStyle w:val="Heading1"/>
        <w:spacing w:after="160" w:before="320"/>
      </w:pPr>
      <w:r>
        <w:t xml:space="preserve">1. Overview</w:t>
      </w:r>
    </w:p>
    <w:p>
      <w:pPr>
        <w:spacing w:after="160" w:line="276"/>
      </w:pPr>
      <w:r>
        <w:t xml:space="preserve">This project replicates and extends Ranjan, van Schijndel, Agarwal &amp; Rajkumar (2022), “Discourse Context Predictability Effects in Hindi Word Order” (EMNLP), which models a speaker's choice among grammatical reorderings of a Hindi sentence as a function of cognitive and information-theoretic features — dependency length, information status, and several flavors of surprisal (n-gram, LSTM, PCFG, lexical-repetition cache).</w:t>
      </w:r>
    </w:p>
    <w:p>
      <w:pPr>
        <w:spacing w:after="160" w:line="276"/>
      </w:pPr>
      <w:r>
        <w:t xml:space="preserve">The repository contains two connected phases of work. MTP-I is a faithful replication of the original paper's pipeline: parsing the Hindi UD treebank, generating grammatical word-order variants, computing the paper's seven features, and reproducing its regression and classification tables. MTP-II is an original extension asking whether the emotional valence and arousal of the preceding discourse sentence — modeled via Russell's (1980) Circumplex Model of Affect — modulates how predictable the attested word order is, beyond what the base cognitive features already explain.</w:t>
      </w:r>
    </w:p>
    <w:p>
      <w:pPr>
        <w:spacing w:after="160" w:line="276"/>
      </w:pPr>
      <w:r>
        <w:t xml:space="preserve">The folder totals roughly 1.8 GB, of which 1.6 GB is data (corpora, trained models, pairwise feature tables) and 266 MB is a committed Python virtual environment. The working pipeline is 26 numbered scripts (01–26) in scripts/, backed by a small shared library in src/.</w:t>
      </w:r>
    </w:p>
    <w:p>
      <w:pPr>
        <w:pStyle w:val="Heading1"/>
        <w:spacing w:after="160" w:before="320"/>
      </w:pPr>
      <w:r>
        <w:t xml:space="preserve">2. Data &amp; Analysis Pipeline</w:t>
      </w:r>
    </w:p>
    <w:p>
      <w:pPr>
        <w:spacing w:after="160" w:line="276"/>
      </w:pPr>
      <w:r>
        <w:t xml:space="preserve">The pipeline runs as a strict linear sequence, each script consuming the previous step's output. It breaks into five stages:</w:t>
      </w:r>
    </w:p>
    <w:p>
      <w:pPr>
        <w:pStyle w:val="Heading2"/>
        <w:spacing w:after="120" w:before="240"/>
      </w:pPr>
      <w:r>
        <w:t xml:space="preserve">2.1 Corpus preparation (scripts 01–04)</w:t>
      </w:r>
    </w:p>
    <w:p>
      <w:pPr>
        <w:spacing w:after="160" w:line="276"/>
      </w:pPr>
      <w:r>
        <w:t xml:space="preserve">Parses the UD Hindi-HDTB (HUTB) treebank and applies the paper's replication filters: subject and object both direct dependents of the root verb, a projective dependency tree, a declarative finite-verb root, no negation markers, and at least two preverbal dependents. Script 04 then generates grammatical variants by permuting whole preverbal subtree blocks (not individual words) and, following the paper's Appendix A footnote, caps each sentence at 99 sampled non-reference variants plus the reference. This yields 2,753 reference sentences and a pairwise dataset of 178,723 rows (89,361 reference/variant pairs, each contributing one label-1 and one label-0 row in the Joachims ranking format).</w:t>
      </w:r>
    </w:p>
    <w:p>
      <w:pPr>
        <w:pStyle w:val="Heading2"/>
        <w:spacing w:after="120" w:before="240"/>
      </w:pPr>
      <w:r>
        <w:t xml:space="preserve">2.2 Language models (scripts 06–13)</w:t>
      </w:r>
    </w:p>
    <w:p>
      <w:pPr>
        <w:spacing w:after="160" w:line="276"/>
      </w:pPr>
      <w:r>
        <w:t xml:space="preserve">Trains the predictive models used as surprisal features: a Kneser-Ney trigram model blind to the test sentences, a vanilla LSTM (2-layer, 200-dim, trained on the EMILLE written Hindi corpus, MPS-accelerated), a discourse-adaptive variant of that LSTM that is fine-tuned on each sentence's immediate predecessor before scoring, a lexical-repetition cache language model, and a Berkeley PCFG parser run under 5-fold cross-validation over constituency trees converted from the dependency treebank.</w:t>
      </w:r>
    </w:p>
    <w:p>
      <w:pPr>
        <w:pStyle w:val="Heading2"/>
        <w:spacing w:after="120" w:before="240"/>
      </w:pPr>
      <w:r>
        <w:t xml:space="preserve">2.3 Feature merge &amp; MTP-I classification (scripts 14–15)</w:t>
      </w:r>
    </w:p>
    <w:p>
      <w:pPr>
        <w:spacing w:after="160" w:line="276"/>
      </w:pPr>
      <w:r>
        <w:t xml:space="preserve">Merges all seven cognitive features into the pairwise dataset and reproduces the paper's Tables 2–4: mixed-effects-style logistic regression coefficients, 10-fold cross-validated classification accuracy for the full dataset and its DO-fronted / IO-fronted subsets, McNemar significance tests between nested models, and a variance-inflation-factor (VIF) multicollinearity check.</w:t>
      </w:r>
    </w:p>
    <w:p>
      <w:pPr>
        <w:pStyle w:val="Heading2"/>
        <w:spacing w:after="120" w:before="240"/>
      </w:pPr>
      <w:r>
        <w:t xml:space="preserve">2.4 Emotion extension, MTP-II (scripts 16–21)</w:t>
      </w:r>
    </w:p>
    <w:p>
      <w:pPr>
        <w:spacing w:after="160" w:line="276"/>
      </w:pPr>
      <w:r>
        <w:t xml:space="preserve">Scores every preceding sentence for valence and arousal using a Hindi-translated NRC-VAD lexicon, then tests three nested logistic models — the seven base features alone, plus raw emotion scores, plus emotion×surprisal interaction terms — against the MTP-I baseline. Later scripts re-run the interaction analysis with mean-centered terms to control multicollinearity, and reconstruct each sentence's construction type (SOV / DOSV / IOSV) to test whether emotion's effect differs by construction.</w:t>
      </w:r>
    </w:p>
    <w:p>
      <w:pPr>
        <w:pStyle w:val="Heading2"/>
        <w:spacing w:after="120" w:before="240"/>
      </w:pPr>
      <w:r>
        <w:t xml:space="preserve">2.5 Validation &amp; consolidation (scripts 22–26)</w:t>
      </w:r>
    </w:p>
    <w:p>
      <w:pPr>
        <w:spacing w:after="160" w:line="276"/>
      </w:pPr>
      <w:r>
        <w:t xml:space="preserve">Re-runs the full 7-feature-plus-emotion pipeline out-of-domain on Hindi-PUD, checks whether surprisal and emotion scores are directly correlated, and builds two consolidated spreadsheets: a per-sentence master sheet and a feature-diagnostics report that flags degenerate (near-constant) features. Script 26 exports a raw, pre-difference version of the dataset for downstream reuse.</w:t>
      </w:r>
    </w:p>
    <w:p>
      <w:pPr>
        <w:pStyle w:val="Heading1"/>
        <w:spacing w:after="160" w:before="320"/>
      </w:pPr>
      <w:r>
        <w:t xml:space="preserve">3. MTP-I Findings — Replication of Ranjan et al. (2022)</w:t>
      </w:r>
    </w:p>
    <w:p>
      <w:pPr>
        <w:spacing w:after="160" w:line="276"/>
      </w:pPr>
      <w:r>
        <w:t xml:space="preserve">The replication tracks the paper closely. The full best model (all seven features, base1+g) reaches 94.62% classification accuracy against the paper's reported 95.06% — a gap under half a point. Individual feature ablations mostly land within 1–3 points of the paper's numbers, with two notable exceptions: the vanilla and adaptive LSTM surprisal features underperform the paper by roughly 3.5–4 points on their own (90.27% vs. 94.01%, and 90.48% vs. 94.06%), suggesting the locally trained LSTM is a weaker language model than the paper's, even though this weakness washes out once it's combined with the other six features.</w:t>
      </w:r>
    </w:p>
    <w:p>
      <w:pPr>
        <w:pStyle w:val="Heading2"/>
        <w:spacing w:after="120" w:before="240"/>
      </w:pPr>
      <w:r>
        <w:t xml:space="preserve">3.1 Feature ablation accuracy (Table 4 style, full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200"/>
        <w:gridCol w:w="1200"/>
      </w:tblGrid>
      <w:tr>
        <w:trPr>
          <w:tblHeader/>
        </w:trPr>
        <w:tc>
          <w:tcPr>
            <w:tcW w:type="dxa" w:w="3600"/>
            <w:shd w:fill="2F5496" w:color="auto" w:val="clear"/>
            <w:tcMar>
              <w:top w:type="dxa" w:w="60"/>
              <w:left w:type="dxa" w:w="100"/>
              <w:bottom w:type="dxa" w:w="60"/>
              <w:right w:type="dxa" w:w="100"/>
            </w:tcMar>
          </w:tcPr>
          <w:p>
            <w:r>
              <w:rPr>
                <w:b/>
                <w:bCs/>
                <w:color w:val="FFFFFF"/>
                <w:sz w:val="19"/>
                <w:szCs w:val="19"/>
              </w:rPr>
              <w:t xml:space="preserve">Model</w:t>
            </w:r>
          </w:p>
        </w:tc>
        <w:tc>
          <w:tcPr>
            <w:tcW w:type="dxa" w:w="2000"/>
            <w:shd w:fill="2F5496" w:color="auto" w:val="clear"/>
            <w:tcMar>
              <w:top w:type="dxa" w:w="60"/>
              <w:left w:type="dxa" w:w="100"/>
              <w:bottom w:type="dxa" w:w="60"/>
              <w:right w:type="dxa" w:w="100"/>
            </w:tcMar>
          </w:tcPr>
          <w:p>
            <w:r>
              <w:rPr>
                <w:b/>
                <w:bCs/>
                <w:color w:val="FFFFFF"/>
                <w:sz w:val="19"/>
                <w:szCs w:val="19"/>
              </w:rPr>
              <w:t xml:space="preserve">This replication</w:t>
            </w:r>
          </w:p>
        </w:tc>
        <w:tc>
          <w:tcPr>
            <w:tcW w:type="dxa" w:w="2200"/>
            <w:shd w:fill="2F5496" w:color="auto" w:val="clear"/>
            <w:tcMar>
              <w:top w:type="dxa" w:w="60"/>
              <w:left w:type="dxa" w:w="100"/>
              <w:bottom w:type="dxa" w:w="60"/>
              <w:right w:type="dxa" w:w="100"/>
            </w:tcMar>
          </w:tcPr>
          <w:p>
            <w:r>
              <w:rPr>
                <w:b/>
                <w:bCs/>
                <w:color w:val="FFFFFF"/>
                <w:sz w:val="19"/>
                <w:szCs w:val="19"/>
              </w:rPr>
              <w:t xml:space="preserve">Paper (Ranjan et al.)</w:t>
            </w:r>
          </w:p>
        </w:tc>
        <w:tc>
          <w:tcPr>
            <w:tcW w:type="dxa" w:w="1200"/>
            <w:shd w:fill="2F5496" w:color="auto" w:val="clear"/>
            <w:tcMar>
              <w:top w:type="dxa" w:w="60"/>
              <w:left w:type="dxa" w:w="100"/>
              <w:bottom w:type="dxa" w:w="60"/>
              <w:right w:type="dxa" w:w="100"/>
            </w:tcMar>
          </w:tcPr>
          <w:p>
            <w:r>
              <w:rPr>
                <w:b/>
                <w:bCs/>
                <w:color w:val="FFFFFF"/>
                <w:sz w:val="19"/>
                <w:szCs w:val="19"/>
              </w:rPr>
              <w:t xml:space="preserve">Δ</w:t>
            </w:r>
          </w:p>
        </w:tc>
      </w:tr>
      <w:tr>
        <w:tc>
          <w:tcPr>
            <w:tcW w:type="dxa" w:w="3600"/>
            <w:tcMar>
              <w:top w:type="dxa" w:w="60"/>
              <w:left w:type="dxa" w:w="100"/>
              <w:bottom w:type="dxa" w:w="60"/>
              <w:right w:type="dxa" w:w="100"/>
            </w:tcMar>
          </w:tcPr>
          <w:p>
            <w:pPr>
              <w:jc w:val="left"/>
            </w:pPr>
            <w:r>
              <w:rPr>
                <w:b w:val="false"/>
                <w:bCs w:val="false"/>
                <w:sz w:val="19"/>
                <w:szCs w:val="19"/>
              </w:rPr>
              <w:t xml:space="preserve">a = IS score</w:t>
            </w:r>
          </w:p>
        </w:tc>
        <w:tc>
          <w:tcPr>
            <w:tcW w:type="dxa" w:w="2000"/>
            <w:tcMar>
              <w:top w:type="dxa" w:w="60"/>
              <w:left w:type="dxa" w:w="100"/>
              <w:bottom w:type="dxa" w:w="60"/>
              <w:right w:type="dxa" w:w="100"/>
            </w:tcMar>
          </w:tcPr>
          <w:p>
            <w:pPr>
              <w:jc w:val="left"/>
            </w:pPr>
            <w:r>
              <w:rPr>
                <w:b w:val="false"/>
                <w:bCs w:val="false"/>
                <w:sz w:val="19"/>
                <w:szCs w:val="19"/>
              </w:rPr>
              <w:t xml:space="preserve">52.71%</w:t>
            </w:r>
          </w:p>
        </w:tc>
        <w:tc>
          <w:tcPr>
            <w:tcW w:type="dxa" w:w="2200"/>
            <w:tcMar>
              <w:top w:type="dxa" w:w="60"/>
              <w:left w:type="dxa" w:w="100"/>
              <w:bottom w:type="dxa" w:w="60"/>
              <w:right w:type="dxa" w:w="100"/>
            </w:tcMar>
          </w:tcPr>
          <w:p>
            <w:pPr>
              <w:jc w:val="left"/>
            </w:pPr>
            <w:r>
              <w:rPr>
                <w:b w:val="false"/>
                <w:bCs w:val="false"/>
                <w:sz w:val="19"/>
                <w:szCs w:val="19"/>
              </w:rPr>
              <w:t xml:space="preserve">51.84%</w:t>
            </w:r>
          </w:p>
        </w:tc>
        <w:tc>
          <w:tcPr>
            <w:tcW w:type="dxa" w:w="1200"/>
            <w:tcMar>
              <w:top w:type="dxa" w:w="60"/>
              <w:left w:type="dxa" w:w="100"/>
              <w:bottom w:type="dxa" w:w="60"/>
              <w:right w:type="dxa" w:w="100"/>
            </w:tcMar>
          </w:tcPr>
          <w:p>
            <w:pPr>
              <w:jc w:val="left"/>
            </w:pPr>
            <w:r>
              <w:rPr>
                <w:b w:val="false"/>
                <w:bCs w:val="false"/>
                <w:sz w:val="19"/>
                <w:szCs w:val="19"/>
              </w:rPr>
              <w:t xml:space="preserve">+0.87</w:t>
            </w:r>
          </w:p>
        </w:tc>
      </w:tr>
      <w:tr>
        <w:tc>
          <w:tcPr>
            <w:tcW w:type="dxa" w:w="3600"/>
            <w:shd w:fill="F2F2F2" w:color="auto" w:val="clear"/>
            <w:tcMar>
              <w:top w:type="dxa" w:w="60"/>
              <w:left w:type="dxa" w:w="100"/>
              <w:bottom w:type="dxa" w:w="60"/>
              <w:right w:type="dxa" w:w="100"/>
            </w:tcMar>
          </w:tcPr>
          <w:p>
            <w:pPr>
              <w:jc w:val="left"/>
            </w:pPr>
            <w:r>
              <w:rPr>
                <w:b w:val="false"/>
                <w:bCs w:val="false"/>
                <w:sz w:val="19"/>
                <w:szCs w:val="19"/>
              </w:rPr>
              <w:t xml:space="preserve">b = dep length</w:t>
            </w:r>
          </w:p>
        </w:tc>
        <w:tc>
          <w:tcPr>
            <w:tcW w:type="dxa" w:w="2000"/>
            <w:shd w:fill="F2F2F2" w:color="auto" w:val="clear"/>
            <w:tcMar>
              <w:top w:type="dxa" w:w="60"/>
              <w:left w:type="dxa" w:w="100"/>
              <w:bottom w:type="dxa" w:w="60"/>
              <w:right w:type="dxa" w:w="100"/>
            </w:tcMar>
          </w:tcPr>
          <w:p>
            <w:pPr>
              <w:jc w:val="left"/>
            </w:pPr>
            <w:r>
              <w:rPr>
                <w:b w:val="false"/>
                <w:bCs w:val="false"/>
                <w:sz w:val="19"/>
                <w:szCs w:val="19"/>
              </w:rPr>
              <w:t xml:space="preserve">61.76%</w:t>
            </w:r>
          </w:p>
        </w:tc>
        <w:tc>
          <w:tcPr>
            <w:tcW w:type="dxa" w:w="2200"/>
            <w:shd w:fill="F2F2F2" w:color="auto" w:val="clear"/>
            <w:tcMar>
              <w:top w:type="dxa" w:w="60"/>
              <w:left w:type="dxa" w:w="100"/>
              <w:bottom w:type="dxa" w:w="60"/>
              <w:right w:type="dxa" w:w="100"/>
            </w:tcMar>
          </w:tcPr>
          <w:p>
            <w:pPr>
              <w:jc w:val="left"/>
            </w:pPr>
            <w:r>
              <w:rPr>
                <w:b w:val="false"/>
                <w:bCs w:val="false"/>
                <w:sz w:val="19"/>
                <w:szCs w:val="19"/>
              </w:rPr>
              <w:t xml:space="preserve">62.31%</w:t>
            </w:r>
          </w:p>
        </w:tc>
        <w:tc>
          <w:tcPr>
            <w:tcW w:type="dxa" w:w="1200"/>
            <w:shd w:fill="F2F2F2" w:color="auto" w:val="clear"/>
            <w:tcMar>
              <w:top w:type="dxa" w:w="60"/>
              <w:left w:type="dxa" w:w="100"/>
              <w:bottom w:type="dxa" w:w="60"/>
              <w:right w:type="dxa" w:w="100"/>
            </w:tcMar>
          </w:tcPr>
          <w:p>
            <w:pPr>
              <w:jc w:val="left"/>
            </w:pPr>
            <w:r>
              <w:rPr>
                <w:b w:val="false"/>
                <w:bCs w:val="false"/>
                <w:sz w:val="19"/>
                <w:szCs w:val="19"/>
              </w:rPr>
              <w:t xml:space="preserve">−0.55</w:t>
            </w:r>
          </w:p>
        </w:tc>
      </w:tr>
      <w:tr>
        <w:tc>
          <w:tcPr>
            <w:tcW w:type="dxa" w:w="3600"/>
            <w:tcMar>
              <w:top w:type="dxa" w:w="60"/>
              <w:left w:type="dxa" w:w="100"/>
              <w:bottom w:type="dxa" w:w="60"/>
              <w:right w:type="dxa" w:w="100"/>
            </w:tcMar>
          </w:tcPr>
          <w:p>
            <w:pPr>
              <w:jc w:val="left"/>
            </w:pPr>
            <w:r>
              <w:rPr>
                <w:b w:val="false"/>
                <w:bCs w:val="false"/>
                <w:sz w:val="19"/>
                <w:szCs w:val="19"/>
              </w:rPr>
              <w:t xml:space="preserve">c = PCFG surprisal</w:t>
            </w:r>
          </w:p>
        </w:tc>
        <w:tc>
          <w:tcPr>
            <w:tcW w:type="dxa" w:w="2000"/>
            <w:tcMar>
              <w:top w:type="dxa" w:w="60"/>
              <w:left w:type="dxa" w:w="100"/>
              <w:bottom w:type="dxa" w:w="60"/>
              <w:right w:type="dxa" w:w="100"/>
            </w:tcMar>
          </w:tcPr>
          <w:p>
            <w:pPr>
              <w:jc w:val="left"/>
            </w:pPr>
            <w:r>
              <w:rPr>
                <w:b w:val="false"/>
                <w:bCs w:val="false"/>
                <w:sz w:val="19"/>
                <w:szCs w:val="19"/>
              </w:rPr>
              <w:t xml:space="preserve">89.23%</w:t>
            </w:r>
          </w:p>
        </w:tc>
        <w:tc>
          <w:tcPr>
            <w:tcW w:type="dxa" w:w="2200"/>
            <w:tcMar>
              <w:top w:type="dxa" w:w="60"/>
              <w:left w:type="dxa" w:w="100"/>
              <w:bottom w:type="dxa" w:w="60"/>
              <w:right w:type="dxa" w:w="100"/>
            </w:tcMar>
          </w:tcPr>
          <w:p>
            <w:pPr>
              <w:jc w:val="left"/>
            </w:pPr>
            <w:r>
              <w:rPr>
                <w:b w:val="false"/>
                <w:bCs w:val="false"/>
                <w:sz w:val="19"/>
                <w:szCs w:val="19"/>
              </w:rPr>
              <w:t xml:space="preserve">86.86%</w:t>
            </w:r>
          </w:p>
        </w:tc>
        <w:tc>
          <w:tcPr>
            <w:tcW w:type="dxa" w:w="1200"/>
            <w:tcMar>
              <w:top w:type="dxa" w:w="60"/>
              <w:left w:type="dxa" w:w="100"/>
              <w:bottom w:type="dxa" w:w="60"/>
              <w:right w:type="dxa" w:w="100"/>
            </w:tcMar>
          </w:tcPr>
          <w:p>
            <w:pPr>
              <w:jc w:val="left"/>
            </w:pPr>
            <w:r>
              <w:rPr>
                <w:b w:val="false"/>
                <w:bCs w:val="false"/>
                <w:sz w:val="19"/>
                <w:szCs w:val="19"/>
              </w:rPr>
              <w:t xml:space="preserve">+2.37</w:t>
            </w:r>
          </w:p>
        </w:tc>
      </w:tr>
      <w:tr>
        <w:tc>
          <w:tcPr>
            <w:tcW w:type="dxa" w:w="3600"/>
            <w:shd w:fill="F2F2F2" w:color="auto" w:val="clear"/>
            <w:tcMar>
              <w:top w:type="dxa" w:w="60"/>
              <w:left w:type="dxa" w:w="100"/>
              <w:bottom w:type="dxa" w:w="60"/>
              <w:right w:type="dxa" w:w="100"/>
            </w:tcMar>
          </w:tcPr>
          <w:p>
            <w:pPr>
              <w:jc w:val="left"/>
            </w:pPr>
            <w:r>
              <w:rPr>
                <w:b w:val="false"/>
                <w:bCs w:val="false"/>
                <w:sz w:val="19"/>
                <w:szCs w:val="19"/>
              </w:rPr>
              <w:t xml:space="preserve">d = lex-repetition surprisal</w:t>
            </w:r>
          </w:p>
        </w:tc>
        <w:tc>
          <w:tcPr>
            <w:tcW w:type="dxa" w:w="2000"/>
            <w:shd w:fill="F2F2F2" w:color="auto" w:val="clear"/>
            <w:tcMar>
              <w:top w:type="dxa" w:w="60"/>
              <w:left w:type="dxa" w:w="100"/>
              <w:bottom w:type="dxa" w:w="60"/>
              <w:right w:type="dxa" w:w="100"/>
            </w:tcMar>
          </w:tcPr>
          <w:p>
            <w:pPr>
              <w:jc w:val="left"/>
            </w:pPr>
            <w:r>
              <w:rPr>
                <w:b w:val="false"/>
                <w:bCs w:val="false"/>
                <w:sz w:val="19"/>
                <w:szCs w:val="19"/>
              </w:rPr>
              <w:t xml:space="preserve">91.92%</w:t>
            </w:r>
          </w:p>
        </w:tc>
        <w:tc>
          <w:tcPr>
            <w:tcW w:type="dxa" w:w="2200"/>
            <w:shd w:fill="F2F2F2" w:color="auto" w:val="clear"/>
            <w:tcMar>
              <w:top w:type="dxa" w:w="60"/>
              <w:left w:type="dxa" w:w="100"/>
              <w:bottom w:type="dxa" w:w="60"/>
              <w:right w:type="dxa" w:w="100"/>
            </w:tcMar>
          </w:tcPr>
          <w:p>
            <w:pPr>
              <w:jc w:val="left"/>
            </w:pPr>
            <w:r>
              <w:rPr>
                <w:b w:val="false"/>
                <w:bCs w:val="false"/>
                <w:sz w:val="19"/>
                <w:szCs w:val="19"/>
              </w:rPr>
              <w:t xml:space="preserve">90.07%</w:t>
            </w:r>
          </w:p>
        </w:tc>
        <w:tc>
          <w:tcPr>
            <w:tcW w:type="dxa" w:w="1200"/>
            <w:shd w:fill="F2F2F2" w:color="auto" w:val="clear"/>
            <w:tcMar>
              <w:top w:type="dxa" w:w="60"/>
              <w:left w:type="dxa" w:w="100"/>
              <w:bottom w:type="dxa" w:w="60"/>
              <w:right w:type="dxa" w:w="100"/>
            </w:tcMar>
          </w:tcPr>
          <w:p>
            <w:pPr>
              <w:jc w:val="left"/>
            </w:pPr>
            <w:r>
              <w:rPr>
                <w:b w:val="false"/>
                <w:bCs w:val="false"/>
                <w:sz w:val="19"/>
                <w:szCs w:val="19"/>
              </w:rPr>
              <w:t xml:space="preserve">+1.85</w:t>
            </w:r>
          </w:p>
        </w:tc>
      </w:tr>
      <w:tr>
        <w:tc>
          <w:tcPr>
            <w:tcW w:type="dxa" w:w="3600"/>
            <w:tcMar>
              <w:top w:type="dxa" w:w="60"/>
              <w:left w:type="dxa" w:w="100"/>
              <w:bottom w:type="dxa" w:w="60"/>
              <w:right w:type="dxa" w:w="100"/>
            </w:tcMar>
          </w:tcPr>
          <w:p>
            <w:pPr>
              <w:jc w:val="left"/>
            </w:pPr>
            <w:r>
              <w:rPr>
                <w:b w:val="false"/>
                <w:bCs w:val="false"/>
                <w:sz w:val="19"/>
                <w:szCs w:val="19"/>
              </w:rPr>
              <w:t xml:space="preserve">e = trigram surprisal</w:t>
            </w:r>
          </w:p>
        </w:tc>
        <w:tc>
          <w:tcPr>
            <w:tcW w:type="dxa" w:w="2000"/>
            <w:tcMar>
              <w:top w:type="dxa" w:w="60"/>
              <w:left w:type="dxa" w:w="100"/>
              <w:bottom w:type="dxa" w:w="60"/>
              <w:right w:type="dxa" w:w="100"/>
            </w:tcMar>
          </w:tcPr>
          <w:p>
            <w:pPr>
              <w:jc w:val="left"/>
            </w:pPr>
            <w:r>
              <w:rPr>
                <w:b w:val="false"/>
                <w:bCs w:val="false"/>
                <w:sz w:val="19"/>
                <w:szCs w:val="19"/>
              </w:rPr>
              <w:t xml:space="preserve">92.21%</w:t>
            </w:r>
          </w:p>
        </w:tc>
        <w:tc>
          <w:tcPr>
            <w:tcW w:type="dxa" w:w="2200"/>
            <w:tcMar>
              <w:top w:type="dxa" w:w="60"/>
              <w:left w:type="dxa" w:w="100"/>
              <w:bottom w:type="dxa" w:w="60"/>
              <w:right w:type="dxa" w:w="100"/>
            </w:tcMar>
          </w:tcPr>
          <w:p>
            <w:pPr>
              <w:jc w:val="left"/>
            </w:pPr>
            <w:r>
              <w:rPr>
                <w:b w:val="false"/>
                <w:bCs w:val="false"/>
                <w:sz w:val="19"/>
                <w:szCs w:val="19"/>
              </w:rPr>
              <w:t xml:space="preserve">91.18%</w:t>
            </w:r>
          </w:p>
        </w:tc>
        <w:tc>
          <w:tcPr>
            <w:tcW w:type="dxa" w:w="1200"/>
            <w:tcMar>
              <w:top w:type="dxa" w:w="60"/>
              <w:left w:type="dxa" w:w="100"/>
              <w:bottom w:type="dxa" w:w="60"/>
              <w:right w:type="dxa" w:w="100"/>
            </w:tcMar>
          </w:tcPr>
          <w:p>
            <w:pPr>
              <w:jc w:val="left"/>
            </w:pPr>
            <w:r>
              <w:rPr>
                <w:b w:val="false"/>
                <w:bCs w:val="false"/>
                <w:sz w:val="19"/>
                <w:szCs w:val="19"/>
              </w:rPr>
              <w:t xml:space="preserve">+1.03</w:t>
            </w:r>
          </w:p>
        </w:tc>
      </w:tr>
      <w:tr>
        <w:tc>
          <w:tcPr>
            <w:tcW w:type="dxa" w:w="3600"/>
            <w:shd w:fill="F2F2F2" w:color="auto" w:val="clear"/>
            <w:tcMar>
              <w:top w:type="dxa" w:w="60"/>
              <w:left w:type="dxa" w:w="100"/>
              <w:bottom w:type="dxa" w:w="60"/>
              <w:right w:type="dxa" w:w="100"/>
            </w:tcMar>
          </w:tcPr>
          <w:p>
            <w:pPr>
              <w:jc w:val="left"/>
            </w:pPr>
            <w:r>
              <w:rPr>
                <w:b w:val="false"/>
                <w:bCs w:val="false"/>
                <w:sz w:val="19"/>
                <w:szCs w:val="19"/>
              </w:rPr>
              <w:t xml:space="preserve">f = LSTM surprisal</w:t>
            </w:r>
          </w:p>
        </w:tc>
        <w:tc>
          <w:tcPr>
            <w:tcW w:type="dxa" w:w="2000"/>
            <w:shd w:fill="F2F2F2" w:color="auto" w:val="clear"/>
            <w:tcMar>
              <w:top w:type="dxa" w:w="60"/>
              <w:left w:type="dxa" w:w="100"/>
              <w:bottom w:type="dxa" w:w="60"/>
              <w:right w:type="dxa" w:w="100"/>
            </w:tcMar>
          </w:tcPr>
          <w:p>
            <w:pPr>
              <w:jc w:val="left"/>
            </w:pPr>
            <w:r>
              <w:rPr>
                <w:b w:val="false"/>
                <w:bCs w:val="false"/>
                <w:sz w:val="19"/>
                <w:szCs w:val="19"/>
              </w:rPr>
              <w:t xml:space="preserve">90.27%</w:t>
            </w:r>
          </w:p>
        </w:tc>
        <w:tc>
          <w:tcPr>
            <w:tcW w:type="dxa" w:w="2200"/>
            <w:shd w:fill="F2F2F2" w:color="auto" w:val="clear"/>
            <w:tcMar>
              <w:top w:type="dxa" w:w="60"/>
              <w:left w:type="dxa" w:w="100"/>
              <w:bottom w:type="dxa" w:w="60"/>
              <w:right w:type="dxa" w:w="100"/>
            </w:tcMar>
          </w:tcPr>
          <w:p>
            <w:pPr>
              <w:jc w:val="left"/>
            </w:pPr>
            <w:r>
              <w:rPr>
                <w:b w:val="false"/>
                <w:bCs w:val="false"/>
                <w:sz w:val="19"/>
                <w:szCs w:val="19"/>
              </w:rPr>
              <w:t xml:space="preserve">94.01%</w:t>
            </w:r>
          </w:p>
        </w:tc>
        <w:tc>
          <w:tcPr>
            <w:tcW w:type="dxa" w:w="1200"/>
            <w:shd w:fill="F2F2F2" w:color="auto" w:val="clear"/>
            <w:tcMar>
              <w:top w:type="dxa" w:w="60"/>
              <w:left w:type="dxa" w:w="100"/>
              <w:bottom w:type="dxa" w:w="60"/>
              <w:right w:type="dxa" w:w="100"/>
            </w:tcMar>
          </w:tcPr>
          <w:p>
            <w:pPr>
              <w:jc w:val="left"/>
            </w:pPr>
            <w:r>
              <w:rPr>
                <w:b w:val="false"/>
                <w:bCs w:val="false"/>
                <w:sz w:val="19"/>
                <w:szCs w:val="19"/>
              </w:rPr>
              <w:t xml:space="preserve">−3.74</w:t>
            </w:r>
          </w:p>
        </w:tc>
      </w:tr>
      <w:tr>
        <w:tc>
          <w:tcPr>
            <w:tcW w:type="dxa" w:w="3600"/>
            <w:tcMar>
              <w:top w:type="dxa" w:w="60"/>
              <w:left w:type="dxa" w:w="100"/>
              <w:bottom w:type="dxa" w:w="60"/>
              <w:right w:type="dxa" w:w="100"/>
            </w:tcMar>
          </w:tcPr>
          <w:p>
            <w:pPr>
              <w:jc w:val="left"/>
            </w:pPr>
            <w:r>
              <w:rPr>
                <w:b w:val="false"/>
                <w:bCs w:val="false"/>
                <w:sz w:val="19"/>
                <w:szCs w:val="19"/>
              </w:rPr>
              <w:t xml:space="preserve">g = adaptive LSTM surprisal</w:t>
            </w:r>
          </w:p>
        </w:tc>
        <w:tc>
          <w:tcPr>
            <w:tcW w:type="dxa" w:w="2000"/>
            <w:tcMar>
              <w:top w:type="dxa" w:w="60"/>
              <w:left w:type="dxa" w:w="100"/>
              <w:bottom w:type="dxa" w:w="60"/>
              <w:right w:type="dxa" w:w="100"/>
            </w:tcMar>
          </w:tcPr>
          <w:p>
            <w:pPr>
              <w:jc w:val="left"/>
            </w:pPr>
            <w:r>
              <w:rPr>
                <w:b w:val="false"/>
                <w:bCs w:val="false"/>
                <w:sz w:val="19"/>
                <w:szCs w:val="19"/>
              </w:rPr>
              <w:t xml:space="preserve">90.48%</w:t>
            </w:r>
          </w:p>
        </w:tc>
        <w:tc>
          <w:tcPr>
            <w:tcW w:type="dxa" w:w="2200"/>
            <w:tcMar>
              <w:top w:type="dxa" w:w="60"/>
              <w:left w:type="dxa" w:w="100"/>
              <w:bottom w:type="dxa" w:w="60"/>
              <w:right w:type="dxa" w:w="100"/>
            </w:tcMar>
          </w:tcPr>
          <w:p>
            <w:pPr>
              <w:jc w:val="left"/>
            </w:pPr>
            <w:r>
              <w:rPr>
                <w:b w:val="false"/>
                <w:bCs w:val="false"/>
                <w:sz w:val="19"/>
                <w:szCs w:val="19"/>
              </w:rPr>
              <w:t xml:space="preserve">94.06%</w:t>
            </w:r>
          </w:p>
        </w:tc>
        <w:tc>
          <w:tcPr>
            <w:tcW w:type="dxa" w:w="1200"/>
            <w:tcMar>
              <w:top w:type="dxa" w:w="60"/>
              <w:left w:type="dxa" w:w="100"/>
              <w:bottom w:type="dxa" w:w="60"/>
              <w:right w:type="dxa" w:w="100"/>
            </w:tcMar>
          </w:tcPr>
          <w:p>
            <w:pPr>
              <w:jc w:val="left"/>
            </w:pPr>
            <w:r>
              <w:rPr>
                <w:b w:val="false"/>
                <w:bCs w:val="false"/>
                <w:sz w:val="19"/>
                <w:szCs w:val="19"/>
              </w:rPr>
              <w:t xml:space="preserve">−3.58</w:t>
            </w:r>
          </w:p>
        </w:tc>
      </w:tr>
      <w:tr>
        <w:tc>
          <w:tcPr>
            <w:tcW w:type="dxa" w:w="3600"/>
            <w:shd w:fill="F2F2F2" w:color="auto" w:val="clear"/>
            <w:tcMar>
              <w:top w:type="dxa" w:w="60"/>
              <w:left w:type="dxa" w:w="100"/>
              <w:bottom w:type="dxa" w:w="60"/>
              <w:right w:type="dxa" w:w="100"/>
            </w:tcMar>
          </w:tcPr>
          <w:p>
            <w:pPr>
              <w:jc w:val="left"/>
            </w:pPr>
            <w:r>
              <w:rPr>
                <w:b w:val="false"/>
                <w:bCs w:val="false"/>
                <w:sz w:val="19"/>
                <w:szCs w:val="19"/>
              </w:rPr>
              <w:t xml:space="preserve">base1 (a+b+c+d+e+f)</w:t>
            </w:r>
          </w:p>
        </w:tc>
        <w:tc>
          <w:tcPr>
            <w:tcW w:type="dxa" w:w="2000"/>
            <w:shd w:fill="F2F2F2" w:color="auto" w:val="clear"/>
            <w:tcMar>
              <w:top w:type="dxa" w:w="60"/>
              <w:left w:type="dxa" w:w="100"/>
              <w:bottom w:type="dxa" w:w="60"/>
              <w:right w:type="dxa" w:w="100"/>
            </w:tcMar>
          </w:tcPr>
          <w:p>
            <w:pPr>
              <w:jc w:val="left"/>
            </w:pPr>
            <w:r>
              <w:rPr>
                <w:b w:val="false"/>
                <w:bCs w:val="false"/>
                <w:sz w:val="19"/>
                <w:szCs w:val="19"/>
              </w:rPr>
              <w:t xml:space="preserve">94.53%</w:t>
            </w:r>
          </w:p>
        </w:tc>
        <w:tc>
          <w:tcPr>
            <w:tcW w:type="dxa" w:w="2200"/>
            <w:shd w:fill="F2F2F2" w:color="auto" w:val="clear"/>
            <w:tcMar>
              <w:top w:type="dxa" w:w="60"/>
              <w:left w:type="dxa" w:w="100"/>
              <w:bottom w:type="dxa" w:w="60"/>
              <w:right w:type="dxa" w:w="100"/>
            </w:tcMar>
          </w:tcPr>
          <w:p>
            <w:pPr>
              <w:jc w:val="left"/>
            </w:pPr>
            <w:r>
              <w:rPr>
                <w:b w:val="false"/>
                <w:bCs w:val="false"/>
                <w:sz w:val="19"/>
                <w:szCs w:val="19"/>
              </w:rPr>
              <w:t xml:space="preserve">95.05%</w:t>
            </w:r>
          </w:p>
        </w:tc>
        <w:tc>
          <w:tcPr>
            <w:tcW w:type="dxa" w:w="1200"/>
            <w:shd w:fill="F2F2F2" w:color="auto" w:val="clear"/>
            <w:tcMar>
              <w:top w:type="dxa" w:w="60"/>
              <w:left w:type="dxa" w:w="100"/>
              <w:bottom w:type="dxa" w:w="60"/>
              <w:right w:type="dxa" w:w="100"/>
            </w:tcMar>
          </w:tcPr>
          <w:p>
            <w:pPr>
              <w:jc w:val="left"/>
            </w:pPr>
            <w:r>
              <w:rPr>
                <w:b w:val="false"/>
                <w:bCs w:val="false"/>
                <w:sz w:val="19"/>
                <w:szCs w:val="19"/>
              </w:rPr>
              <w:t xml:space="preserve">−0.52</w:t>
            </w:r>
          </w:p>
        </w:tc>
      </w:tr>
      <w:tr>
        <w:tc>
          <w:tcPr>
            <w:tcW w:type="dxa" w:w="3600"/>
            <w:tcMar>
              <w:top w:type="dxa" w:w="60"/>
              <w:left w:type="dxa" w:w="100"/>
              <w:bottom w:type="dxa" w:w="60"/>
              <w:right w:type="dxa" w:w="100"/>
            </w:tcMar>
          </w:tcPr>
          <w:p>
            <w:pPr>
              <w:jc w:val="left"/>
            </w:pPr>
            <w:r>
              <w:rPr>
                <w:b w:val="false"/>
                <w:bCs w:val="false"/>
                <w:sz w:val="19"/>
                <w:szCs w:val="19"/>
              </w:rPr>
              <w:t xml:space="preserve">base1 + g (full model)</w:t>
            </w:r>
          </w:p>
        </w:tc>
        <w:tc>
          <w:tcPr>
            <w:tcW w:type="dxa" w:w="2000"/>
            <w:tcMar>
              <w:top w:type="dxa" w:w="60"/>
              <w:left w:type="dxa" w:w="100"/>
              <w:bottom w:type="dxa" w:w="60"/>
              <w:right w:type="dxa" w:w="100"/>
            </w:tcMar>
          </w:tcPr>
          <w:p>
            <w:pPr>
              <w:jc w:val="left"/>
            </w:pPr>
            <w:r>
              <w:rPr>
                <w:b w:val="false"/>
                <w:bCs w:val="false"/>
                <w:sz w:val="19"/>
                <w:szCs w:val="19"/>
              </w:rPr>
              <w:t xml:space="preserve">94.62%</w:t>
            </w:r>
          </w:p>
        </w:tc>
        <w:tc>
          <w:tcPr>
            <w:tcW w:type="dxa" w:w="2200"/>
            <w:tcMar>
              <w:top w:type="dxa" w:w="60"/>
              <w:left w:type="dxa" w:w="100"/>
              <w:bottom w:type="dxa" w:w="60"/>
              <w:right w:type="dxa" w:w="100"/>
            </w:tcMar>
          </w:tcPr>
          <w:p>
            <w:pPr>
              <w:jc w:val="left"/>
            </w:pPr>
            <w:r>
              <w:rPr>
                <w:b w:val="false"/>
                <w:bCs w:val="false"/>
                <w:sz w:val="19"/>
                <w:szCs w:val="19"/>
              </w:rPr>
              <w:t xml:space="preserve">95.06%</w:t>
            </w:r>
          </w:p>
        </w:tc>
        <w:tc>
          <w:tcPr>
            <w:tcW w:type="dxa" w:w="1200"/>
            <w:tcMar>
              <w:top w:type="dxa" w:w="60"/>
              <w:left w:type="dxa" w:w="100"/>
              <w:bottom w:type="dxa" w:w="60"/>
              <w:right w:type="dxa" w:w="100"/>
            </w:tcMar>
          </w:tcPr>
          <w:p>
            <w:pPr>
              <w:jc w:val="left"/>
            </w:pPr>
            <w:r>
              <w:rPr>
                <w:b w:val="false"/>
                <w:bCs w:val="false"/>
                <w:sz w:val="19"/>
                <w:szCs w:val="19"/>
              </w:rPr>
              <w:t xml:space="preserve">−0.44</w:t>
            </w:r>
          </w:p>
        </w:tc>
      </w:tr>
    </w:tbl>
    <w:p>
      <w:pPr>
        <w:spacing w:after="200"/>
      </w:pPr>
    </w:p>
    <w:p>
      <w:pPr>
        <w:spacing w:after="160" w:line="276"/>
      </w:pPr>
      <w:r>
        <w:t xml:space="preserve">The DO-fronted and IO-fronted subsets show a more interesting divergence: on the full model, this replication's subset accuracies (84.87% DO, 94.65% IO) actually exceed the paper's (81.42% DO, 89.80% IO), even though the pooled accuracy is slightly lower than the paper's. That pattern — lower on the full set but higher on both subsets — is not internally contradictory (the subsets are unevenly sized and the full-set number is not their simple average) but is worth a sanity check against the exact subset sample sizes before citing in a thesis writeup.</w:t>
      </w:r>
    </w:p>
    <w:p>
      <w:pPr>
        <w:pStyle w:val="Heading2"/>
        <w:spacing w:after="120" w:before="240"/>
      </w:pPr>
      <w:r>
        <w:t xml:space="preserve">3.2 Regression coefficients (Table 2 style)</w:t>
      </w:r>
    </w:p>
    <w:p>
      <w:pPr>
        <w:spacing w:after="160" w:line="276"/>
      </w:pPr>
      <w:r>
        <w:t xml:space="preserve">All seven features are significant predictors of word order (|t| &gt; 3.6), with the expected sign in every case except IS score, which is worth double-checking against the paper's coding convention: this run finds a positive coefficient (β = 0.069, t = 3.64), meaning higher information-status scores for the attested order. Dependency length and every surprisal feature are negative, i.e. the attested order has lower dependency length and lower surprisal than its unchosen variants, consistent with efficiency-based accounts of word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000"/>
      </w:tblGrid>
      <w:tr>
        <w:trPr>
          <w:tblHeader/>
        </w:trPr>
        <w:tc>
          <w:tcPr>
            <w:tcW w:type="dxa" w:w="3400"/>
            <w:shd w:fill="2F5496" w:color="auto" w:val="clear"/>
            <w:tcMar>
              <w:top w:type="dxa" w:w="60"/>
              <w:left w:type="dxa" w:w="100"/>
              <w:bottom w:type="dxa" w:w="60"/>
              <w:right w:type="dxa" w:w="100"/>
            </w:tcMar>
          </w:tcPr>
          <w:p>
            <w:r>
              <w:rPr>
                <w:b/>
                <w:bCs/>
                <w:color w:val="FFFFFF"/>
                <w:sz w:val="19"/>
                <w:szCs w:val="19"/>
              </w:rPr>
              <w:t xml:space="preserve">Predictor</w:t>
            </w:r>
          </w:p>
        </w:tc>
        <w:tc>
          <w:tcPr>
            <w:tcW w:type="dxa" w:w="1800"/>
            <w:shd w:fill="2F5496" w:color="auto" w:val="clear"/>
            <w:tcMar>
              <w:top w:type="dxa" w:w="60"/>
              <w:left w:type="dxa" w:w="100"/>
              <w:bottom w:type="dxa" w:w="60"/>
              <w:right w:type="dxa" w:w="100"/>
            </w:tcMar>
          </w:tcPr>
          <w:p>
            <w:r>
              <w:rPr>
                <w:b/>
                <w:bCs/>
                <w:color w:val="FFFFFF"/>
                <w:sz w:val="19"/>
                <w:szCs w:val="19"/>
              </w:rPr>
              <w:t xml:space="preserve">β</w:t>
            </w:r>
          </w:p>
        </w:tc>
        <w:tc>
          <w:tcPr>
            <w:tcW w:type="dxa" w:w="1800"/>
            <w:shd w:fill="2F5496" w:color="auto" w:val="clear"/>
            <w:tcMar>
              <w:top w:type="dxa" w:w="60"/>
              <w:left w:type="dxa" w:w="100"/>
              <w:bottom w:type="dxa" w:w="60"/>
              <w:right w:type="dxa" w:w="100"/>
            </w:tcMar>
          </w:tcPr>
          <w:p>
            <w:r>
              <w:rPr>
                <w:b/>
                <w:bCs/>
                <w:color w:val="FFFFFF"/>
                <w:sz w:val="19"/>
                <w:szCs w:val="19"/>
              </w:rPr>
              <w:t xml:space="preserve">SE</w:t>
            </w:r>
          </w:p>
        </w:tc>
        <w:tc>
          <w:tcPr>
            <w:tcW w:type="dxa" w:w="2000"/>
            <w:shd w:fill="2F5496" w:color="auto" w:val="clear"/>
            <w:tcMar>
              <w:top w:type="dxa" w:w="60"/>
              <w:left w:type="dxa" w:w="100"/>
              <w:bottom w:type="dxa" w:w="60"/>
              <w:right w:type="dxa" w:w="100"/>
            </w:tcMar>
          </w:tcPr>
          <w:p>
            <w:r>
              <w:rPr>
                <w:b/>
                <w:bCs/>
                <w:color w:val="FFFFFF"/>
                <w:sz w:val="19"/>
                <w:szCs w:val="19"/>
              </w:rPr>
              <w:t xml:space="preserve">t</w:t>
            </w:r>
          </w:p>
        </w:tc>
      </w:tr>
      <w:tr>
        <w:tc>
          <w:tcPr>
            <w:tcW w:type="dxa" w:w="3400"/>
            <w:tcMar>
              <w:top w:type="dxa" w:w="60"/>
              <w:left w:type="dxa" w:w="100"/>
              <w:bottom w:type="dxa" w:w="60"/>
              <w:right w:type="dxa" w:w="100"/>
            </w:tcMar>
          </w:tcPr>
          <w:p>
            <w:pPr>
              <w:jc w:val="left"/>
            </w:pPr>
            <w:r>
              <w:rPr>
                <w:b w:val="false"/>
                <w:bCs w:val="false"/>
                <w:sz w:val="19"/>
                <w:szCs w:val="19"/>
              </w:rPr>
              <w:t xml:space="preserve">IS score</w:t>
            </w:r>
          </w:p>
        </w:tc>
        <w:tc>
          <w:tcPr>
            <w:tcW w:type="dxa" w:w="1800"/>
            <w:tcMar>
              <w:top w:type="dxa" w:w="60"/>
              <w:left w:type="dxa" w:w="100"/>
              <w:bottom w:type="dxa" w:w="60"/>
              <w:right w:type="dxa" w:w="100"/>
            </w:tcMar>
          </w:tcPr>
          <w:p>
            <w:pPr>
              <w:jc w:val="left"/>
            </w:pPr>
            <w:r>
              <w:rPr>
                <w:b w:val="false"/>
                <w:bCs w:val="false"/>
                <w:sz w:val="19"/>
                <w:szCs w:val="19"/>
              </w:rPr>
              <w:t xml:space="preserve">0.0686</w:t>
            </w:r>
          </w:p>
        </w:tc>
        <w:tc>
          <w:tcPr>
            <w:tcW w:type="dxa" w:w="1800"/>
            <w:tcMar>
              <w:top w:type="dxa" w:w="60"/>
              <w:left w:type="dxa" w:w="100"/>
              <w:bottom w:type="dxa" w:w="60"/>
              <w:right w:type="dxa" w:w="100"/>
            </w:tcMar>
          </w:tcPr>
          <w:p>
            <w:pPr>
              <w:jc w:val="left"/>
            </w:pPr>
            <w:r>
              <w:rPr>
                <w:b w:val="false"/>
                <w:bCs w:val="false"/>
                <w:sz w:val="19"/>
                <w:szCs w:val="19"/>
              </w:rPr>
              <w:t xml:space="preserve">0.0189</w:t>
            </w:r>
          </w:p>
        </w:tc>
        <w:tc>
          <w:tcPr>
            <w:tcW w:type="dxa" w:w="2000"/>
            <w:tcMar>
              <w:top w:type="dxa" w:w="60"/>
              <w:left w:type="dxa" w:w="100"/>
              <w:bottom w:type="dxa" w:w="60"/>
              <w:right w:type="dxa" w:w="100"/>
            </w:tcMar>
          </w:tcPr>
          <w:p>
            <w:pPr>
              <w:jc w:val="left"/>
            </w:pPr>
            <w:r>
              <w:rPr>
                <w:b w:val="false"/>
                <w:bCs w:val="false"/>
                <w:sz w:val="19"/>
                <w:szCs w:val="19"/>
              </w:rPr>
              <w:t xml:space="preserve">3.64</w:t>
            </w:r>
          </w:p>
        </w:tc>
      </w:tr>
      <w:tr>
        <w:tc>
          <w:tcPr>
            <w:tcW w:type="dxa" w:w="3400"/>
            <w:shd w:fill="F2F2F2" w:color="auto" w:val="clear"/>
            <w:tcMar>
              <w:top w:type="dxa" w:w="60"/>
              <w:left w:type="dxa" w:w="100"/>
              <w:bottom w:type="dxa" w:w="60"/>
              <w:right w:type="dxa" w:w="100"/>
            </w:tcMar>
          </w:tcPr>
          <w:p>
            <w:pPr>
              <w:jc w:val="left"/>
            </w:pPr>
            <w:r>
              <w:rPr>
                <w:b w:val="false"/>
                <w:bCs w:val="false"/>
                <w:sz w:val="19"/>
                <w:szCs w:val="19"/>
              </w:rPr>
              <w:t xml:space="preserve">dependency length</w:t>
            </w:r>
          </w:p>
        </w:tc>
        <w:tc>
          <w:tcPr>
            <w:tcW w:type="dxa" w:w="1800"/>
            <w:shd w:fill="F2F2F2" w:color="auto" w:val="clear"/>
            <w:tcMar>
              <w:top w:type="dxa" w:w="60"/>
              <w:left w:type="dxa" w:w="100"/>
              <w:bottom w:type="dxa" w:w="60"/>
              <w:right w:type="dxa" w:w="100"/>
            </w:tcMar>
          </w:tcPr>
          <w:p>
            <w:pPr>
              <w:jc w:val="left"/>
            </w:pPr>
            <w:r>
              <w:rPr>
                <w:b w:val="false"/>
                <w:bCs w:val="false"/>
                <w:sz w:val="19"/>
                <w:szCs w:val="19"/>
              </w:rPr>
              <w:t xml:space="preserve">−0.0173</w:t>
            </w:r>
          </w:p>
        </w:tc>
        <w:tc>
          <w:tcPr>
            <w:tcW w:type="dxa" w:w="1800"/>
            <w:shd w:fill="F2F2F2" w:color="auto" w:val="clear"/>
            <w:tcMar>
              <w:top w:type="dxa" w:w="60"/>
              <w:left w:type="dxa" w:w="100"/>
              <w:bottom w:type="dxa" w:w="60"/>
              <w:right w:type="dxa" w:w="100"/>
            </w:tcMar>
          </w:tcPr>
          <w:p>
            <w:pPr>
              <w:jc w:val="left"/>
            </w:pPr>
            <w:r>
              <w:rPr>
                <w:b w:val="false"/>
                <w:bCs w:val="false"/>
                <w:sz w:val="19"/>
                <w:szCs w:val="19"/>
              </w:rPr>
              <w:t xml:space="preserve">0.0010</w:t>
            </w:r>
          </w:p>
        </w:tc>
        <w:tc>
          <w:tcPr>
            <w:tcW w:type="dxa" w:w="2000"/>
            <w:shd w:fill="F2F2F2" w:color="auto" w:val="clear"/>
            <w:tcMar>
              <w:top w:type="dxa" w:w="60"/>
              <w:left w:type="dxa" w:w="100"/>
              <w:bottom w:type="dxa" w:w="60"/>
              <w:right w:type="dxa" w:w="100"/>
            </w:tcMar>
          </w:tcPr>
          <w:p>
            <w:pPr>
              <w:jc w:val="left"/>
            </w:pPr>
            <w:r>
              <w:rPr>
                <w:b w:val="false"/>
                <w:bCs w:val="false"/>
                <w:sz w:val="19"/>
                <w:szCs w:val="19"/>
              </w:rPr>
              <w:t xml:space="preserve">−17.51</w:t>
            </w:r>
          </w:p>
        </w:tc>
      </w:tr>
      <w:tr>
        <w:tc>
          <w:tcPr>
            <w:tcW w:type="dxa" w:w="3400"/>
            <w:tcMar>
              <w:top w:type="dxa" w:w="60"/>
              <w:left w:type="dxa" w:w="100"/>
              <w:bottom w:type="dxa" w:w="60"/>
              <w:right w:type="dxa" w:w="100"/>
            </w:tcMar>
          </w:tcPr>
          <w:p>
            <w:pPr>
              <w:jc w:val="left"/>
            </w:pPr>
            <w:r>
              <w:rPr>
                <w:b w:val="false"/>
                <w:bCs w:val="false"/>
                <w:sz w:val="19"/>
                <w:szCs w:val="19"/>
              </w:rPr>
              <w:t xml:space="preserve">PCFG surprisal</w:t>
            </w:r>
          </w:p>
        </w:tc>
        <w:tc>
          <w:tcPr>
            <w:tcW w:type="dxa" w:w="1800"/>
            <w:tcMar>
              <w:top w:type="dxa" w:w="60"/>
              <w:left w:type="dxa" w:w="100"/>
              <w:bottom w:type="dxa" w:w="60"/>
              <w:right w:type="dxa" w:w="100"/>
            </w:tcMar>
          </w:tcPr>
          <w:p>
            <w:pPr>
              <w:jc w:val="left"/>
            </w:pPr>
            <w:r>
              <w:rPr>
                <w:b w:val="false"/>
                <w:bCs w:val="false"/>
                <w:sz w:val="19"/>
                <w:szCs w:val="19"/>
              </w:rPr>
              <w:t xml:space="preserve">−0.3849</w:t>
            </w:r>
          </w:p>
        </w:tc>
        <w:tc>
          <w:tcPr>
            <w:tcW w:type="dxa" w:w="1800"/>
            <w:tcMar>
              <w:top w:type="dxa" w:w="60"/>
              <w:left w:type="dxa" w:w="100"/>
              <w:bottom w:type="dxa" w:w="60"/>
              <w:right w:type="dxa" w:w="100"/>
            </w:tcMar>
          </w:tcPr>
          <w:p>
            <w:pPr>
              <w:jc w:val="left"/>
            </w:pPr>
            <w:r>
              <w:rPr>
                <w:b w:val="false"/>
                <w:bCs w:val="false"/>
                <w:sz w:val="19"/>
                <w:szCs w:val="19"/>
              </w:rPr>
              <w:t xml:space="preserve">0.0059</w:t>
            </w:r>
          </w:p>
        </w:tc>
        <w:tc>
          <w:tcPr>
            <w:tcW w:type="dxa" w:w="2000"/>
            <w:tcMar>
              <w:top w:type="dxa" w:w="60"/>
              <w:left w:type="dxa" w:w="100"/>
              <w:bottom w:type="dxa" w:w="60"/>
              <w:right w:type="dxa" w:w="100"/>
            </w:tcMar>
          </w:tcPr>
          <w:p>
            <w:pPr>
              <w:jc w:val="left"/>
            </w:pPr>
            <w:r>
              <w:rPr>
                <w:b w:val="false"/>
                <w:bCs w:val="false"/>
                <w:sz w:val="19"/>
                <w:szCs w:val="19"/>
              </w:rPr>
              <w:t xml:space="preserve">−65.21</w:t>
            </w:r>
          </w:p>
        </w:tc>
      </w:tr>
      <w:tr>
        <w:tc>
          <w:tcPr>
            <w:tcW w:type="dxa" w:w="3400"/>
            <w:shd w:fill="F2F2F2" w:color="auto" w:val="clear"/>
            <w:tcMar>
              <w:top w:type="dxa" w:w="60"/>
              <w:left w:type="dxa" w:w="100"/>
              <w:bottom w:type="dxa" w:w="60"/>
              <w:right w:type="dxa" w:w="100"/>
            </w:tcMar>
          </w:tcPr>
          <w:p>
            <w:pPr>
              <w:jc w:val="left"/>
            </w:pPr>
            <w:r>
              <w:rPr>
                <w:b w:val="false"/>
                <w:bCs w:val="false"/>
                <w:sz w:val="19"/>
                <w:szCs w:val="19"/>
              </w:rPr>
              <w:t xml:space="preserve">lex-repetition surprisal</w:t>
            </w:r>
          </w:p>
        </w:tc>
        <w:tc>
          <w:tcPr>
            <w:tcW w:type="dxa" w:w="1800"/>
            <w:shd w:fill="F2F2F2" w:color="auto" w:val="clear"/>
            <w:tcMar>
              <w:top w:type="dxa" w:w="60"/>
              <w:left w:type="dxa" w:w="100"/>
              <w:bottom w:type="dxa" w:w="60"/>
              <w:right w:type="dxa" w:w="100"/>
            </w:tcMar>
          </w:tcPr>
          <w:p>
            <w:pPr>
              <w:jc w:val="left"/>
            </w:pPr>
            <w:r>
              <w:rPr>
                <w:b w:val="false"/>
                <w:bCs w:val="false"/>
                <w:sz w:val="19"/>
                <w:szCs w:val="19"/>
              </w:rPr>
              <w:t xml:space="preserve">−0.0285</w:t>
            </w:r>
          </w:p>
        </w:tc>
        <w:tc>
          <w:tcPr>
            <w:tcW w:type="dxa" w:w="1800"/>
            <w:shd w:fill="F2F2F2" w:color="auto" w:val="clear"/>
            <w:tcMar>
              <w:top w:type="dxa" w:w="60"/>
              <w:left w:type="dxa" w:w="100"/>
              <w:bottom w:type="dxa" w:w="60"/>
              <w:right w:type="dxa" w:w="100"/>
            </w:tcMar>
          </w:tcPr>
          <w:p>
            <w:pPr>
              <w:jc w:val="left"/>
            </w:pPr>
            <w:r>
              <w:rPr>
                <w:b w:val="false"/>
                <w:bCs w:val="false"/>
                <w:sz w:val="19"/>
                <w:szCs w:val="19"/>
              </w:rPr>
              <w:t xml:space="preserve">0.0076</w:t>
            </w:r>
          </w:p>
        </w:tc>
        <w:tc>
          <w:tcPr>
            <w:tcW w:type="dxa" w:w="2000"/>
            <w:shd w:fill="F2F2F2" w:color="auto" w:val="clear"/>
            <w:tcMar>
              <w:top w:type="dxa" w:w="60"/>
              <w:left w:type="dxa" w:w="100"/>
              <w:bottom w:type="dxa" w:w="60"/>
              <w:right w:type="dxa" w:w="100"/>
            </w:tcMar>
          </w:tcPr>
          <w:p>
            <w:pPr>
              <w:jc w:val="left"/>
            </w:pPr>
            <w:r>
              <w:rPr>
                <w:b w:val="false"/>
                <w:bCs w:val="false"/>
                <w:sz w:val="19"/>
                <w:szCs w:val="19"/>
              </w:rPr>
              <w:t xml:space="preserve">−3.75</w:t>
            </w:r>
          </w:p>
        </w:tc>
      </w:tr>
      <w:tr>
        <w:tc>
          <w:tcPr>
            <w:tcW w:type="dxa" w:w="3400"/>
            <w:tcMar>
              <w:top w:type="dxa" w:w="60"/>
              <w:left w:type="dxa" w:w="100"/>
              <w:bottom w:type="dxa" w:w="60"/>
              <w:right w:type="dxa" w:w="100"/>
            </w:tcMar>
          </w:tcPr>
          <w:p>
            <w:pPr>
              <w:jc w:val="left"/>
            </w:pPr>
            <w:r>
              <w:rPr>
                <w:b w:val="false"/>
                <w:bCs w:val="false"/>
                <w:sz w:val="19"/>
                <w:szCs w:val="19"/>
              </w:rPr>
              <w:t xml:space="preserve">trigram surprisal</w:t>
            </w:r>
          </w:p>
        </w:tc>
        <w:tc>
          <w:tcPr>
            <w:tcW w:type="dxa" w:w="1800"/>
            <w:tcMar>
              <w:top w:type="dxa" w:w="60"/>
              <w:left w:type="dxa" w:w="100"/>
              <w:bottom w:type="dxa" w:w="60"/>
              <w:right w:type="dxa" w:w="100"/>
            </w:tcMar>
          </w:tcPr>
          <w:p>
            <w:pPr>
              <w:jc w:val="left"/>
            </w:pPr>
            <w:r>
              <w:rPr>
                <w:b w:val="false"/>
                <w:bCs w:val="false"/>
                <w:sz w:val="19"/>
                <w:szCs w:val="19"/>
              </w:rPr>
              <w:t xml:space="preserve">−0.1584</w:t>
            </w:r>
          </w:p>
        </w:tc>
        <w:tc>
          <w:tcPr>
            <w:tcW w:type="dxa" w:w="1800"/>
            <w:tcMar>
              <w:top w:type="dxa" w:w="60"/>
              <w:left w:type="dxa" w:w="100"/>
              <w:bottom w:type="dxa" w:w="60"/>
              <w:right w:type="dxa" w:w="100"/>
            </w:tcMar>
          </w:tcPr>
          <w:p>
            <w:pPr>
              <w:jc w:val="left"/>
            </w:pPr>
            <w:r>
              <w:rPr>
                <w:b w:val="false"/>
                <w:bCs w:val="false"/>
                <w:sz w:val="19"/>
                <w:szCs w:val="19"/>
              </w:rPr>
              <w:t xml:space="preserve">0.0074</w:t>
            </w:r>
          </w:p>
        </w:tc>
        <w:tc>
          <w:tcPr>
            <w:tcW w:type="dxa" w:w="2000"/>
            <w:tcMar>
              <w:top w:type="dxa" w:w="60"/>
              <w:left w:type="dxa" w:w="100"/>
              <w:bottom w:type="dxa" w:w="60"/>
              <w:right w:type="dxa" w:w="100"/>
            </w:tcMar>
          </w:tcPr>
          <w:p>
            <w:pPr>
              <w:jc w:val="left"/>
            </w:pPr>
            <w:r>
              <w:rPr>
                <w:b w:val="false"/>
                <w:bCs w:val="false"/>
                <w:sz w:val="19"/>
                <w:szCs w:val="19"/>
              </w:rPr>
              <w:t xml:space="preserve">−21.55</w:t>
            </w:r>
          </w:p>
        </w:tc>
      </w:tr>
      <w:tr>
        <w:tc>
          <w:tcPr>
            <w:tcW w:type="dxa" w:w="3400"/>
            <w:shd w:fill="F2F2F2" w:color="auto" w:val="clear"/>
            <w:tcMar>
              <w:top w:type="dxa" w:w="60"/>
              <w:left w:type="dxa" w:w="100"/>
              <w:bottom w:type="dxa" w:w="60"/>
              <w:right w:type="dxa" w:w="100"/>
            </w:tcMar>
          </w:tcPr>
          <w:p>
            <w:pPr>
              <w:jc w:val="left"/>
            </w:pPr>
            <w:r>
              <w:rPr>
                <w:b w:val="false"/>
                <w:bCs w:val="false"/>
                <w:sz w:val="19"/>
                <w:szCs w:val="19"/>
              </w:rPr>
              <w:t xml:space="preserve">LSTM surprisal</w:t>
            </w:r>
          </w:p>
        </w:tc>
        <w:tc>
          <w:tcPr>
            <w:tcW w:type="dxa" w:w="1800"/>
            <w:shd w:fill="F2F2F2" w:color="auto" w:val="clear"/>
            <w:tcMar>
              <w:top w:type="dxa" w:w="60"/>
              <w:left w:type="dxa" w:w="100"/>
              <w:bottom w:type="dxa" w:w="60"/>
              <w:right w:type="dxa" w:w="100"/>
            </w:tcMar>
          </w:tcPr>
          <w:p>
            <w:pPr>
              <w:jc w:val="left"/>
            </w:pPr>
            <w:r>
              <w:rPr>
                <w:b w:val="false"/>
                <w:bCs w:val="false"/>
                <w:sz w:val="19"/>
                <w:szCs w:val="19"/>
              </w:rPr>
              <w:t xml:space="preserve">−0.0514</w:t>
            </w:r>
          </w:p>
        </w:tc>
        <w:tc>
          <w:tcPr>
            <w:tcW w:type="dxa" w:w="1800"/>
            <w:shd w:fill="F2F2F2" w:color="auto" w:val="clear"/>
            <w:tcMar>
              <w:top w:type="dxa" w:w="60"/>
              <w:left w:type="dxa" w:w="100"/>
              <w:bottom w:type="dxa" w:w="60"/>
              <w:right w:type="dxa" w:w="100"/>
            </w:tcMar>
          </w:tcPr>
          <w:p>
            <w:pPr>
              <w:jc w:val="left"/>
            </w:pPr>
            <w:r>
              <w:rPr>
                <w:b w:val="false"/>
                <w:bCs w:val="false"/>
                <w:sz w:val="19"/>
                <w:szCs w:val="19"/>
              </w:rPr>
              <w:t xml:space="preserve">0.0047</w:t>
            </w:r>
          </w:p>
        </w:tc>
        <w:tc>
          <w:tcPr>
            <w:tcW w:type="dxa" w:w="2000"/>
            <w:shd w:fill="F2F2F2" w:color="auto" w:val="clear"/>
            <w:tcMar>
              <w:top w:type="dxa" w:w="60"/>
              <w:left w:type="dxa" w:w="100"/>
              <w:bottom w:type="dxa" w:w="60"/>
              <w:right w:type="dxa" w:w="100"/>
            </w:tcMar>
          </w:tcPr>
          <w:p>
            <w:pPr>
              <w:jc w:val="left"/>
            </w:pPr>
            <w:r>
              <w:rPr>
                <w:b w:val="false"/>
                <w:bCs w:val="false"/>
                <w:sz w:val="19"/>
                <w:szCs w:val="19"/>
              </w:rPr>
              <w:t xml:space="preserve">−10.94</w:t>
            </w:r>
          </w:p>
        </w:tc>
      </w:tr>
      <w:tr>
        <w:tc>
          <w:tcPr>
            <w:tcW w:type="dxa" w:w="3400"/>
            <w:tcMar>
              <w:top w:type="dxa" w:w="60"/>
              <w:left w:type="dxa" w:w="100"/>
              <w:bottom w:type="dxa" w:w="60"/>
              <w:right w:type="dxa" w:w="100"/>
            </w:tcMar>
          </w:tcPr>
          <w:p>
            <w:pPr>
              <w:jc w:val="left"/>
            </w:pPr>
            <w:r>
              <w:rPr>
                <w:b w:val="false"/>
                <w:bCs w:val="false"/>
                <w:sz w:val="19"/>
                <w:szCs w:val="19"/>
              </w:rPr>
              <w:t xml:space="preserve">adaptive LSTM surprisal</w:t>
            </w:r>
          </w:p>
        </w:tc>
        <w:tc>
          <w:tcPr>
            <w:tcW w:type="dxa" w:w="1800"/>
            <w:tcMar>
              <w:top w:type="dxa" w:w="60"/>
              <w:left w:type="dxa" w:w="100"/>
              <w:bottom w:type="dxa" w:w="60"/>
              <w:right w:type="dxa" w:w="100"/>
            </w:tcMar>
          </w:tcPr>
          <w:p>
            <w:pPr>
              <w:jc w:val="left"/>
            </w:pPr>
            <w:r>
              <w:rPr>
                <w:b w:val="false"/>
                <w:bCs w:val="false"/>
                <w:sz w:val="19"/>
                <w:szCs w:val="19"/>
              </w:rPr>
              <w:t xml:space="preserve">−0.1094</w:t>
            </w:r>
          </w:p>
        </w:tc>
        <w:tc>
          <w:tcPr>
            <w:tcW w:type="dxa" w:w="1800"/>
            <w:tcMar>
              <w:top w:type="dxa" w:w="60"/>
              <w:left w:type="dxa" w:w="100"/>
              <w:bottom w:type="dxa" w:w="60"/>
              <w:right w:type="dxa" w:w="100"/>
            </w:tcMar>
          </w:tcPr>
          <w:p>
            <w:pPr>
              <w:jc w:val="left"/>
            </w:pPr>
            <w:r>
              <w:rPr>
                <w:b w:val="false"/>
                <w:bCs w:val="false"/>
                <w:sz w:val="19"/>
                <w:szCs w:val="19"/>
              </w:rPr>
              <w:t xml:space="preserve">0.0049</w:t>
            </w:r>
          </w:p>
        </w:tc>
        <w:tc>
          <w:tcPr>
            <w:tcW w:type="dxa" w:w="2000"/>
            <w:tcMar>
              <w:top w:type="dxa" w:w="60"/>
              <w:left w:type="dxa" w:w="100"/>
              <w:bottom w:type="dxa" w:w="60"/>
              <w:right w:type="dxa" w:w="100"/>
            </w:tcMar>
          </w:tcPr>
          <w:p>
            <w:pPr>
              <w:jc w:val="left"/>
            </w:pPr>
            <w:r>
              <w:rPr>
                <w:b w:val="false"/>
                <w:bCs w:val="false"/>
                <w:sz w:val="19"/>
                <w:szCs w:val="19"/>
              </w:rPr>
              <w:t xml:space="preserve">−22.42</w:t>
            </w:r>
          </w:p>
        </w:tc>
      </w:tr>
    </w:tbl>
    <w:p>
      <w:pPr>
        <w:spacing w:after="200"/>
      </w:pPr>
    </w:p>
    <w:p>
      <w:pPr>
        <w:pStyle w:val="Heading2"/>
        <w:spacing w:after="120" w:before="240"/>
      </w:pPr>
      <w:r>
        <w:t xml:space="preserve">3.3 Multicollinearity (VIF)</w:t>
      </w:r>
    </w:p>
    <w:p>
      <w:pPr>
        <w:spacing w:after="160" w:line="276"/>
      </w:pPr>
      <w:r>
        <w:t xml:space="preserve">The project's own VIF check flags real collinearity among the surprisal features: IS score, dependency length, and PCFG surprisal are all clean (VIF 1.1–3.4), but lexical-repetition surprisal (VIF 66.2), trigram surprisal (VIF 70.0), and both LSTM variants (VIF ~24–25) are well above the conventional VIF &gt; 10 concern threshold. This doesn't invalidate the classification-accuracy results (which don't depend on well-conditioned coefficients), but it means the individual regression coefficients for those four features should be interpreted cautiously — their point estimates and standard errors are less trustworthy than the clean features'.</w:t>
      </w:r>
    </w:p>
    <w:p>
      <w:pPr>
        <w:pStyle w:val="Heading1"/>
        <w:spacing w:after="160" w:before="320"/>
      </w:pPr>
      <w:r>
        <w:t xml:space="preserve">4. MTP-II Findings — Does Emotion Modulate Word Order?</w:t>
      </w:r>
    </w:p>
    <w:p>
      <w:pPr>
        <w:spacing w:after="160" w:line="276"/>
      </w:pPr>
      <w:r>
        <w:t xml:space="preserve">The headline result is genuinely two-sided: on the pooled dataset, adding emotion features produces no measurable improvement, but stratifying by construction type reveals a significant and sign-flipping interaction that the pooled model masks.</w:t>
      </w:r>
    </w:p>
    <w:p>
      <w:pPr>
        <w:pStyle w:val="Heading2"/>
        <w:spacing w:after="120" w:before="240"/>
      </w:pPr>
      <w:r>
        <w:t xml:space="preserve">4.1 Pooled model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600"/>
        <w:gridCol w:w="2200"/>
      </w:tblGrid>
      <w:tr>
        <w:trPr>
          <w:tblHeader/>
        </w:trPr>
        <w:tc>
          <w:tcPr>
            <w:tcW w:type="dxa" w:w="3800"/>
            <w:shd w:fill="2F5496" w:color="auto" w:val="clear"/>
            <w:tcMar>
              <w:top w:type="dxa" w:w="60"/>
              <w:left w:type="dxa" w:w="100"/>
              <w:bottom w:type="dxa" w:w="60"/>
              <w:right w:type="dxa" w:w="100"/>
            </w:tcMar>
          </w:tcPr>
          <w:p>
            <w:r>
              <w:rPr>
                <w:b/>
                <w:bCs/>
                <w:color w:val="FFFFFF"/>
                <w:sz w:val="19"/>
                <w:szCs w:val="19"/>
              </w:rPr>
              <w:t xml:space="preserve">Model</w:t>
            </w:r>
          </w:p>
        </w:tc>
        <w:tc>
          <w:tcPr>
            <w:tcW w:type="dxa" w:w="1400"/>
            <w:shd w:fill="2F5496" w:color="auto" w:val="clear"/>
            <w:tcMar>
              <w:top w:type="dxa" w:w="60"/>
              <w:left w:type="dxa" w:w="100"/>
              <w:bottom w:type="dxa" w:w="60"/>
              <w:right w:type="dxa" w:w="100"/>
            </w:tcMar>
          </w:tcPr>
          <w:p>
            <w:r>
              <w:rPr>
                <w:b/>
                <w:bCs/>
                <w:color w:val="FFFFFF"/>
                <w:sz w:val="19"/>
                <w:szCs w:val="19"/>
              </w:rPr>
              <w:t xml:space="preserve">Features</w:t>
            </w:r>
          </w:p>
        </w:tc>
        <w:tc>
          <w:tcPr>
            <w:tcW w:type="dxa" w:w="1600"/>
            <w:shd w:fill="2F5496" w:color="auto" w:val="clear"/>
            <w:tcMar>
              <w:top w:type="dxa" w:w="60"/>
              <w:left w:type="dxa" w:w="100"/>
              <w:bottom w:type="dxa" w:w="60"/>
              <w:right w:type="dxa" w:w="100"/>
            </w:tcMar>
          </w:tcPr>
          <w:p>
            <w:r>
              <w:rPr>
                <w:b/>
                <w:bCs/>
                <w:color w:val="FFFFFF"/>
                <w:sz w:val="19"/>
                <w:szCs w:val="19"/>
              </w:rPr>
              <w:t xml:space="preserve">Accuracy</w:t>
            </w:r>
          </w:p>
        </w:tc>
        <w:tc>
          <w:tcPr>
            <w:tcW w:type="dxa" w:w="2200"/>
            <w:shd w:fill="2F5496" w:color="auto" w:val="clear"/>
            <w:tcMar>
              <w:top w:type="dxa" w:w="60"/>
              <w:left w:type="dxa" w:w="100"/>
              <w:bottom w:type="dxa" w:w="60"/>
              <w:right w:type="dxa" w:w="100"/>
            </w:tcMar>
          </w:tcPr>
          <w:p>
            <w:r>
              <w:rPr>
                <w:b/>
                <w:bCs/>
                <w:color w:val="FFFFFF"/>
                <w:sz w:val="19"/>
                <w:szCs w:val="19"/>
              </w:rPr>
              <w:t xml:space="preserve">McNemar p (vs. prior)</w:t>
            </w:r>
          </w:p>
        </w:tc>
      </w:tr>
      <w:tr>
        <w:tc>
          <w:tcPr>
            <w:tcW w:type="dxa" w:w="3800"/>
            <w:tcMar>
              <w:top w:type="dxa" w:w="60"/>
              <w:left w:type="dxa" w:w="100"/>
              <w:bottom w:type="dxa" w:w="60"/>
              <w:right w:type="dxa" w:w="100"/>
            </w:tcMar>
          </w:tcPr>
          <w:p>
            <w:pPr>
              <w:jc w:val="left"/>
            </w:pPr>
            <w:r>
              <w:rPr>
                <w:b w:val="false"/>
                <w:bCs w:val="false"/>
                <w:sz w:val="19"/>
                <w:szCs w:val="19"/>
              </w:rPr>
              <w:t xml:space="preserve">A — baseline (7 cognitive)</w:t>
            </w:r>
          </w:p>
        </w:tc>
        <w:tc>
          <w:tcPr>
            <w:tcW w:type="dxa" w:w="1400"/>
            <w:tcMar>
              <w:top w:type="dxa" w:w="60"/>
              <w:left w:type="dxa" w:w="100"/>
              <w:bottom w:type="dxa" w:w="60"/>
              <w:right w:type="dxa" w:w="100"/>
            </w:tcMar>
          </w:tcPr>
          <w:p>
            <w:pPr>
              <w:jc w:val="left"/>
            </w:pPr>
            <w:r>
              <w:rPr>
                <w:b w:val="false"/>
                <w:bCs w:val="false"/>
                <w:sz w:val="19"/>
                <w:szCs w:val="19"/>
              </w:rPr>
              <w:t xml:space="preserve">7</w:t>
            </w:r>
          </w:p>
        </w:tc>
        <w:tc>
          <w:tcPr>
            <w:tcW w:type="dxa" w:w="1600"/>
            <w:tcMar>
              <w:top w:type="dxa" w:w="60"/>
              <w:left w:type="dxa" w:w="100"/>
              <w:bottom w:type="dxa" w:w="60"/>
              <w:right w:type="dxa" w:w="100"/>
            </w:tcMar>
          </w:tcPr>
          <w:p>
            <w:pPr>
              <w:jc w:val="left"/>
            </w:pPr>
            <w:r>
              <w:rPr>
                <w:b w:val="false"/>
                <w:bCs w:val="false"/>
                <w:sz w:val="19"/>
                <w:szCs w:val="19"/>
              </w:rPr>
              <w:t xml:space="preserve">94.618%</w:t>
            </w:r>
          </w:p>
        </w:tc>
        <w:tc>
          <w:tcPr>
            <w:tcW w:type="dxa" w:w="2200"/>
            <w:tcMar>
              <w:top w:type="dxa" w:w="60"/>
              <w:left w:type="dxa" w:w="100"/>
              <w:bottom w:type="dxa" w:w="60"/>
              <w:right w:type="dxa" w:w="100"/>
            </w:tcMar>
          </w:tcPr>
          <w:p>
            <w:pPr>
              <w:jc w:val="left"/>
            </w:pPr>
            <w:r>
              <w:rPr>
                <w:b w:val="false"/>
                <w:bCs w:val="false"/>
                <w:sz w:val="19"/>
                <w:szCs w:val="19"/>
              </w:rPr>
              <w:t xml:space="preserve">—</w:t>
            </w:r>
          </w:p>
        </w:tc>
      </w:tr>
      <w:tr>
        <w:tc>
          <w:tcPr>
            <w:tcW w:type="dxa" w:w="3800"/>
            <w:shd w:fill="F2F2F2" w:color="auto" w:val="clear"/>
            <w:tcMar>
              <w:top w:type="dxa" w:w="60"/>
              <w:left w:type="dxa" w:w="100"/>
              <w:bottom w:type="dxa" w:w="60"/>
              <w:right w:type="dxa" w:w="100"/>
            </w:tcMar>
          </w:tcPr>
          <w:p>
            <w:pPr>
              <w:jc w:val="left"/>
            </w:pPr>
            <w:r>
              <w:rPr>
                <w:b w:val="false"/>
                <w:bCs w:val="false"/>
                <w:sz w:val="19"/>
                <w:szCs w:val="19"/>
              </w:rPr>
              <w:t xml:space="preserve">B — + valence, arousal</w:t>
            </w:r>
          </w:p>
        </w:tc>
        <w:tc>
          <w:tcPr>
            <w:tcW w:type="dxa" w:w="1400"/>
            <w:shd w:fill="F2F2F2" w:color="auto" w:val="clear"/>
            <w:tcMar>
              <w:top w:type="dxa" w:w="60"/>
              <w:left w:type="dxa" w:w="100"/>
              <w:bottom w:type="dxa" w:w="60"/>
              <w:right w:type="dxa" w:w="100"/>
            </w:tcMar>
          </w:tcPr>
          <w:p>
            <w:pPr>
              <w:jc w:val="left"/>
            </w:pPr>
            <w:r>
              <w:rPr>
                <w:b w:val="false"/>
                <w:bCs w:val="false"/>
                <w:sz w:val="19"/>
                <w:szCs w:val="19"/>
              </w:rPr>
              <w:t xml:space="preserve">9</w:t>
            </w:r>
          </w:p>
        </w:tc>
        <w:tc>
          <w:tcPr>
            <w:tcW w:type="dxa" w:w="1600"/>
            <w:shd w:fill="F2F2F2" w:color="auto" w:val="clear"/>
            <w:tcMar>
              <w:top w:type="dxa" w:w="60"/>
              <w:left w:type="dxa" w:w="100"/>
              <w:bottom w:type="dxa" w:w="60"/>
              <w:right w:type="dxa" w:w="100"/>
            </w:tcMar>
          </w:tcPr>
          <w:p>
            <w:pPr>
              <w:jc w:val="left"/>
            </w:pPr>
            <w:r>
              <w:rPr>
                <w:b w:val="false"/>
                <w:bCs w:val="false"/>
                <w:sz w:val="19"/>
                <w:szCs w:val="19"/>
              </w:rPr>
              <w:t xml:space="preserve">94.617%</w:t>
            </w:r>
          </w:p>
        </w:tc>
        <w:tc>
          <w:tcPr>
            <w:tcW w:type="dxa" w:w="2200"/>
            <w:shd w:fill="F2F2F2" w:color="auto" w:val="clear"/>
            <w:tcMar>
              <w:top w:type="dxa" w:w="60"/>
              <w:left w:type="dxa" w:w="100"/>
              <w:bottom w:type="dxa" w:w="60"/>
              <w:right w:type="dxa" w:w="100"/>
            </w:tcMar>
          </w:tcPr>
          <w:p>
            <w:pPr>
              <w:jc w:val="left"/>
            </w:pPr>
            <w:r>
              <w:rPr>
                <w:b w:val="false"/>
                <w:bCs w:val="false"/>
                <w:sz w:val="19"/>
                <w:szCs w:val="19"/>
              </w:rPr>
              <w:t xml:space="preserve">1.000</w:t>
            </w:r>
          </w:p>
        </w:tc>
      </w:tr>
      <w:tr>
        <w:tc>
          <w:tcPr>
            <w:tcW w:type="dxa" w:w="3800"/>
            <w:tcMar>
              <w:top w:type="dxa" w:w="60"/>
              <w:left w:type="dxa" w:w="100"/>
              <w:bottom w:type="dxa" w:w="60"/>
              <w:right w:type="dxa" w:w="100"/>
            </w:tcMar>
          </w:tcPr>
          <w:p>
            <w:pPr>
              <w:jc w:val="left"/>
            </w:pPr>
            <w:r>
              <w:rPr>
                <w:b w:val="false"/>
                <w:bCs w:val="false"/>
                <w:sz w:val="19"/>
                <w:szCs w:val="19"/>
              </w:rPr>
              <w:t xml:space="preserve">C — + emotion×surprisal interactions</w:t>
            </w:r>
          </w:p>
        </w:tc>
        <w:tc>
          <w:tcPr>
            <w:tcW w:type="dxa" w:w="1400"/>
            <w:tcMar>
              <w:top w:type="dxa" w:w="60"/>
              <w:left w:type="dxa" w:w="100"/>
              <w:bottom w:type="dxa" w:w="60"/>
              <w:right w:type="dxa" w:w="100"/>
            </w:tcMar>
          </w:tcPr>
          <w:p>
            <w:pPr>
              <w:jc w:val="left"/>
            </w:pPr>
            <w:r>
              <w:rPr>
                <w:b w:val="false"/>
                <w:bCs w:val="false"/>
                <w:sz w:val="19"/>
                <w:szCs w:val="19"/>
              </w:rPr>
              <w:t xml:space="preserve">11</w:t>
            </w:r>
          </w:p>
        </w:tc>
        <w:tc>
          <w:tcPr>
            <w:tcW w:type="dxa" w:w="1600"/>
            <w:tcMar>
              <w:top w:type="dxa" w:w="60"/>
              <w:left w:type="dxa" w:w="100"/>
              <w:bottom w:type="dxa" w:w="60"/>
              <w:right w:type="dxa" w:w="100"/>
            </w:tcMar>
          </w:tcPr>
          <w:p>
            <w:pPr>
              <w:jc w:val="left"/>
            </w:pPr>
            <w:r>
              <w:rPr>
                <w:b w:val="false"/>
                <w:bCs w:val="false"/>
                <w:sz w:val="19"/>
                <w:szCs w:val="19"/>
              </w:rPr>
              <w:t xml:space="preserve">94.630%</w:t>
            </w:r>
          </w:p>
        </w:tc>
        <w:tc>
          <w:tcPr>
            <w:tcW w:type="dxa" w:w="2200"/>
            <w:tcMar>
              <w:top w:type="dxa" w:w="60"/>
              <w:left w:type="dxa" w:w="100"/>
              <w:bottom w:type="dxa" w:w="60"/>
              <w:right w:type="dxa" w:w="100"/>
            </w:tcMar>
          </w:tcPr>
          <w:p>
            <w:pPr>
              <w:jc w:val="left"/>
            </w:pPr>
            <w:r>
              <w:rPr>
                <w:b w:val="false"/>
                <w:bCs w:val="false"/>
                <w:sz w:val="19"/>
                <w:szCs w:val="19"/>
              </w:rPr>
              <w:t xml:space="preserve">0.170</w:t>
            </w:r>
          </w:p>
        </w:tc>
      </w:tr>
    </w:tbl>
    <w:p>
      <w:pPr>
        <w:spacing w:after="200"/>
      </w:pPr>
    </w:p>
    <w:p>
      <w:pPr>
        <w:spacing w:after="160" w:line="276"/>
      </w:pPr>
      <w:r>
        <w:t xml:space="preserve">Neither the direct emotion effect (Model B) nor the interaction effect (Model C) is significant on the pooled data — emotion adds essentially nothing to raw classification accuracy when all construction types are combined.</w:t>
      </w:r>
    </w:p>
    <w:p>
      <w:pPr>
        <w:pStyle w:val="Heading2"/>
        <w:spacing w:after="120" w:before="240"/>
      </w:pPr>
      <w:r>
        <w:t xml:space="preserve">4.2 Construction-type breakdown</w:t>
      </w:r>
    </w:p>
    <w:p>
      <w:pPr>
        <w:spacing w:after="160" w:line="276"/>
      </w:pPr>
      <w:r>
        <w:t xml:space="preserve">Splitting by construction type tells a different story. Within each subset, the interaction between adaptive-LSTM surprisal and both valence and arousal is highly significant — but the sign reverses between SOV/DOSV and IOSV constructions, which is very likely why the pooled model in §4.1 shows nothing: opposite-signed effects are canceling out in the average.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600"/>
        <w:gridCol w:w="2600"/>
      </w:tblGrid>
      <w:tr>
        <w:trPr>
          <w:tblHeader/>
        </w:trPr>
        <w:tc>
          <w:tcPr>
            <w:tcW w:type="dxa" w:w="3200"/>
            <w:shd w:fill="2F5496" w:color="auto" w:val="clear"/>
            <w:tcMar>
              <w:top w:type="dxa" w:w="60"/>
              <w:left w:type="dxa" w:w="100"/>
              <w:bottom w:type="dxa" w:w="60"/>
              <w:right w:type="dxa" w:w="100"/>
            </w:tcMar>
          </w:tcPr>
          <w:p>
            <w:r>
              <w:rPr>
                <w:b/>
                <w:bCs/>
                <w:color w:val="FFFFFF"/>
                <w:sz w:val="19"/>
                <w:szCs w:val="19"/>
              </w:rPr>
              <w:t xml:space="preserve">Construction</w:t>
            </w:r>
          </w:p>
        </w:tc>
        <w:tc>
          <w:tcPr>
            <w:tcW w:type="dxa" w:w="1800"/>
            <w:shd w:fill="2F5496" w:color="auto" w:val="clear"/>
            <w:tcMar>
              <w:top w:type="dxa" w:w="60"/>
              <w:left w:type="dxa" w:w="100"/>
              <w:bottom w:type="dxa" w:w="60"/>
              <w:right w:type="dxa" w:w="100"/>
            </w:tcMar>
          </w:tcPr>
          <w:p>
            <w:r>
              <w:rPr>
                <w:b/>
                <w:bCs/>
                <w:color w:val="FFFFFF"/>
                <w:sz w:val="19"/>
                <w:szCs w:val="19"/>
              </w:rPr>
              <w:t xml:space="preserve">n (pairwise)</w:t>
            </w:r>
          </w:p>
        </w:tc>
        <w:tc>
          <w:tcPr>
            <w:tcW w:type="dxa" w:w="2600"/>
            <w:shd w:fill="2F5496" w:color="auto" w:val="clear"/>
            <w:tcMar>
              <w:top w:type="dxa" w:w="60"/>
              <w:left w:type="dxa" w:w="100"/>
              <w:bottom w:type="dxa" w:w="60"/>
              <w:right w:type="dxa" w:w="100"/>
            </w:tcMar>
          </w:tcPr>
          <w:p>
            <w:r>
              <w:rPr>
                <w:b/>
                <w:bCs/>
                <w:color w:val="FFFFFF"/>
                <w:sz w:val="19"/>
                <w:szCs w:val="19"/>
              </w:rPr>
              <w:t xml:space="preserve">Valence×Adaptive t (p)</w:t>
            </w:r>
          </w:p>
        </w:tc>
        <w:tc>
          <w:tcPr>
            <w:tcW w:type="dxa" w:w="2600"/>
            <w:shd w:fill="2F5496" w:color="auto" w:val="clear"/>
            <w:tcMar>
              <w:top w:type="dxa" w:w="60"/>
              <w:left w:type="dxa" w:w="100"/>
              <w:bottom w:type="dxa" w:w="60"/>
              <w:right w:type="dxa" w:w="100"/>
            </w:tcMar>
          </w:tcPr>
          <w:p>
            <w:r>
              <w:rPr>
                <w:b/>
                <w:bCs/>
                <w:color w:val="FFFFFF"/>
                <w:sz w:val="19"/>
                <w:szCs w:val="19"/>
              </w:rPr>
              <w:t xml:space="preserve">Arousal×Adaptive t (p)</w:t>
            </w:r>
          </w:p>
        </w:tc>
      </w:tr>
      <w:tr>
        <w:tc>
          <w:tcPr>
            <w:tcW w:type="dxa" w:w="3200"/>
            <w:tcMar>
              <w:top w:type="dxa" w:w="60"/>
              <w:left w:type="dxa" w:w="100"/>
              <w:bottom w:type="dxa" w:w="60"/>
              <w:right w:type="dxa" w:w="100"/>
            </w:tcMar>
          </w:tcPr>
          <w:p>
            <w:pPr>
              <w:jc w:val="left"/>
            </w:pPr>
            <w:r>
              <w:rPr>
                <w:b w:val="false"/>
                <w:bCs w:val="false"/>
                <w:sz w:val="19"/>
                <w:szCs w:val="19"/>
              </w:rPr>
              <w:t xml:space="preserve">SOV (canonical)</w:t>
            </w:r>
          </w:p>
        </w:tc>
        <w:tc>
          <w:tcPr>
            <w:tcW w:type="dxa" w:w="1800"/>
            <w:tcMar>
              <w:top w:type="dxa" w:w="60"/>
              <w:left w:type="dxa" w:w="100"/>
              <w:bottom w:type="dxa" w:w="60"/>
              <w:right w:type="dxa" w:w="100"/>
            </w:tcMar>
          </w:tcPr>
          <w:p>
            <w:pPr>
              <w:jc w:val="left"/>
            </w:pPr>
            <w:r>
              <w:rPr>
                <w:b w:val="false"/>
                <w:bCs w:val="false"/>
                <w:sz w:val="19"/>
                <w:szCs w:val="19"/>
              </w:rPr>
              <w:t xml:space="preserve">167,020</w:t>
            </w:r>
          </w:p>
        </w:tc>
        <w:tc>
          <w:tcPr>
            <w:tcW w:type="dxa" w:w="2600"/>
            <w:tcMar>
              <w:top w:type="dxa" w:w="60"/>
              <w:left w:type="dxa" w:w="100"/>
              <w:bottom w:type="dxa" w:w="60"/>
              <w:right w:type="dxa" w:w="100"/>
            </w:tcMar>
          </w:tcPr>
          <w:p>
            <w:pPr>
              <w:jc w:val="left"/>
            </w:pPr>
            <w:r>
              <w:rPr>
                <w:b w:val="false"/>
                <w:bCs w:val="false"/>
                <w:sz w:val="19"/>
                <w:szCs w:val="19"/>
              </w:rPr>
              <w:t xml:space="preserve">+7.08 (1.4×10⁻¹²)</w:t>
            </w:r>
          </w:p>
        </w:tc>
        <w:tc>
          <w:tcPr>
            <w:tcW w:type="dxa" w:w="2600"/>
            <w:tcMar>
              <w:top w:type="dxa" w:w="60"/>
              <w:left w:type="dxa" w:w="100"/>
              <w:bottom w:type="dxa" w:w="60"/>
              <w:right w:type="dxa" w:w="100"/>
            </w:tcMar>
          </w:tcPr>
          <w:p>
            <w:pPr>
              <w:jc w:val="left"/>
            </w:pPr>
            <w:r>
              <w:rPr>
                <w:b w:val="false"/>
                <w:bCs w:val="false"/>
                <w:sz w:val="19"/>
                <w:szCs w:val="19"/>
              </w:rPr>
              <w:t xml:space="preserve">+5.34 (9.4×10⁻⁸)</w:t>
            </w:r>
          </w:p>
        </w:tc>
      </w:tr>
      <w:tr>
        <w:tc>
          <w:tcPr>
            <w:tcW w:type="dxa" w:w="3200"/>
            <w:shd w:fill="F2F2F2" w:color="auto" w:val="clear"/>
            <w:tcMar>
              <w:top w:type="dxa" w:w="60"/>
              <w:left w:type="dxa" w:w="100"/>
              <w:bottom w:type="dxa" w:w="60"/>
              <w:right w:type="dxa" w:w="100"/>
            </w:tcMar>
          </w:tcPr>
          <w:p>
            <w:pPr>
              <w:jc w:val="left"/>
            </w:pPr>
            <w:r>
              <w:rPr>
                <w:b w:val="false"/>
                <w:bCs w:val="false"/>
                <w:sz w:val="19"/>
                <w:szCs w:val="19"/>
              </w:rPr>
              <w:t xml:space="preserve">DOSV (DO-fronted)</w:t>
            </w:r>
          </w:p>
        </w:tc>
        <w:tc>
          <w:tcPr>
            <w:tcW w:type="dxa" w:w="1800"/>
            <w:shd w:fill="F2F2F2" w:color="auto" w:val="clear"/>
            <w:tcMar>
              <w:top w:type="dxa" w:w="60"/>
              <w:left w:type="dxa" w:w="100"/>
              <w:bottom w:type="dxa" w:w="60"/>
              <w:right w:type="dxa" w:w="100"/>
            </w:tcMar>
          </w:tcPr>
          <w:p>
            <w:pPr>
              <w:jc w:val="left"/>
            </w:pPr>
            <w:r>
              <w:rPr>
                <w:b w:val="false"/>
                <w:bCs w:val="false"/>
                <w:sz w:val="19"/>
                <w:szCs w:val="19"/>
              </w:rPr>
              <w:t xml:space="preserve">6,618</w:t>
            </w:r>
          </w:p>
        </w:tc>
        <w:tc>
          <w:tcPr>
            <w:tcW w:type="dxa" w:w="2600"/>
            <w:shd w:fill="F2F2F2" w:color="auto" w:val="clear"/>
            <w:tcMar>
              <w:top w:type="dxa" w:w="60"/>
              <w:left w:type="dxa" w:w="100"/>
              <w:bottom w:type="dxa" w:w="60"/>
              <w:right w:type="dxa" w:w="100"/>
            </w:tcMar>
          </w:tcPr>
          <w:p>
            <w:pPr>
              <w:jc w:val="left"/>
            </w:pPr>
            <w:r>
              <w:rPr>
                <w:b w:val="false"/>
                <w:bCs w:val="false"/>
                <w:sz w:val="19"/>
                <w:szCs w:val="19"/>
              </w:rPr>
              <w:t xml:space="preserve">+5.61 (2.0×10⁻⁸)</w:t>
            </w:r>
          </w:p>
        </w:tc>
        <w:tc>
          <w:tcPr>
            <w:tcW w:type="dxa" w:w="2600"/>
            <w:shd w:fill="F2F2F2" w:color="auto" w:val="clear"/>
            <w:tcMar>
              <w:top w:type="dxa" w:w="60"/>
              <w:left w:type="dxa" w:w="100"/>
              <w:bottom w:type="dxa" w:w="60"/>
              <w:right w:type="dxa" w:w="100"/>
            </w:tcMar>
          </w:tcPr>
          <w:p>
            <w:pPr>
              <w:jc w:val="left"/>
            </w:pPr>
            <w:r>
              <w:rPr>
                <w:b w:val="false"/>
                <w:bCs w:val="false"/>
                <w:sz w:val="19"/>
                <w:szCs w:val="19"/>
              </w:rPr>
              <w:t xml:space="preserve">+6.40 (1.5×10⁻¹⁰)</w:t>
            </w:r>
          </w:p>
        </w:tc>
      </w:tr>
      <w:tr>
        <w:tc>
          <w:tcPr>
            <w:tcW w:type="dxa" w:w="3200"/>
            <w:tcMar>
              <w:top w:type="dxa" w:w="60"/>
              <w:left w:type="dxa" w:w="100"/>
              <w:bottom w:type="dxa" w:w="60"/>
              <w:right w:type="dxa" w:w="100"/>
            </w:tcMar>
          </w:tcPr>
          <w:p>
            <w:pPr>
              <w:jc w:val="left"/>
            </w:pPr>
            <w:r>
              <w:rPr>
                <w:b w:val="false"/>
                <w:bCs w:val="false"/>
                <w:sz w:val="19"/>
                <w:szCs w:val="19"/>
              </w:rPr>
              <w:t xml:space="preserve">IOSV (IO-fronted)</w:t>
            </w:r>
          </w:p>
        </w:tc>
        <w:tc>
          <w:tcPr>
            <w:tcW w:type="dxa" w:w="1800"/>
            <w:tcMar>
              <w:top w:type="dxa" w:w="60"/>
              <w:left w:type="dxa" w:w="100"/>
              <w:bottom w:type="dxa" w:w="60"/>
              <w:right w:type="dxa" w:w="100"/>
            </w:tcMar>
          </w:tcPr>
          <w:p>
            <w:pPr>
              <w:jc w:val="left"/>
            </w:pPr>
            <w:r>
              <w:rPr>
                <w:b w:val="false"/>
                <w:bCs w:val="false"/>
                <w:sz w:val="19"/>
                <w:szCs w:val="19"/>
              </w:rPr>
              <w:t xml:space="preserve">5,080</w:t>
            </w:r>
          </w:p>
        </w:tc>
        <w:tc>
          <w:tcPr>
            <w:tcW w:type="dxa" w:w="2600"/>
            <w:tcMar>
              <w:top w:type="dxa" w:w="60"/>
              <w:left w:type="dxa" w:w="100"/>
              <w:bottom w:type="dxa" w:w="60"/>
              <w:right w:type="dxa" w:w="100"/>
            </w:tcMar>
          </w:tcPr>
          <w:p>
            <w:pPr>
              <w:jc w:val="left"/>
            </w:pPr>
            <w:r>
              <w:rPr>
                <w:b w:val="false"/>
                <w:bCs w:val="false"/>
                <w:sz w:val="19"/>
                <w:szCs w:val="19"/>
              </w:rPr>
              <w:t xml:space="preserve">−5.99 (2.1×10⁻⁹)</w:t>
            </w:r>
          </w:p>
        </w:tc>
        <w:tc>
          <w:tcPr>
            <w:tcW w:type="dxa" w:w="2600"/>
            <w:tcMar>
              <w:top w:type="dxa" w:w="60"/>
              <w:left w:type="dxa" w:w="100"/>
              <w:bottom w:type="dxa" w:w="60"/>
              <w:right w:type="dxa" w:w="100"/>
            </w:tcMar>
          </w:tcPr>
          <w:p>
            <w:pPr>
              <w:jc w:val="left"/>
            </w:pPr>
            <w:r>
              <w:rPr>
                <w:b w:val="false"/>
                <w:bCs w:val="false"/>
                <w:sz w:val="19"/>
                <w:szCs w:val="19"/>
              </w:rPr>
              <w:t xml:space="preserve">−5.38 (7.4×10⁻⁸)</w:t>
            </w:r>
          </w:p>
        </w:tc>
      </w:tr>
    </w:tbl>
    <w:p>
      <w:pPr>
        <w:spacing w:after="200"/>
      </w:pPr>
    </w:p>
    <w:p>
      <w:pPr>
        <w:spacing w:after="160" w:line="276"/>
      </w:pPr>
      <w:r>
        <w:t xml:space="preserve">This is the most novel finding in the project: emotional valence and arousal of the preceding sentence appear to modulate how strongly discourse-adaptive surprisal predicts word order, and they do so in opposite directions for fronting constructions (IOSV) versus canonical/DO-fronted orders. That asymmetry echoes MTP-I's own finding that adaptive-LSTM surprisal behaved differently for IO-fronted sentences — so the emotion result reads as sharpening an asymmetry the base replication had already surfaced, rather than introducing an unrelated effect.</w:t>
      </w:r>
    </w:p>
    <w:p>
      <w:pPr>
        <w:pStyle w:val="Heading2"/>
        <w:spacing w:after="120" w:before="240"/>
      </w:pPr>
      <w:r>
        <w:t xml:space="preserve">4.3 Multicollinearity control</w:t>
      </w:r>
    </w:p>
    <w:p>
      <w:pPr>
        <w:spacing w:after="160" w:line="276"/>
      </w:pPr>
      <w:r>
        <w:t xml:space="preserve">The raw interaction terms (valence×adaptive, arousal×adaptive) are severely collinear with the adaptive-surprisal feature itself — VIF 228 and 253 — which would normally make the interaction coefficients uninterpretable. Mean-centering both components before multiplying (the standard Aiken &amp; West 1991 remedy) brings VIF down to about 1.2–24, and the interaction effects reported in §4.2 use this centered version, so the finding is not simply a collinearity artifact.</w:t>
      </w:r>
    </w:p>
    <w:p>
      <w:pPr>
        <w:pStyle w:val="Heading2"/>
        <w:spacing w:after="120" w:before="240"/>
      </w:pPr>
      <w:r>
        <w:t xml:space="preserve">4.4 Is emotion just correlated with surprisal directly?</w:t>
      </w:r>
    </w:p>
    <w:p>
      <w:pPr>
        <w:spacing w:after="160" w:line="276"/>
      </w:pPr>
      <w:r>
        <w:t xml:space="preserve">A follow-up check asked the simpler question first: are surprisal and emotion scores linearly related at all, independent of any interaction? At the sentence level (n = 2,753), the answer is essentially no — correlations between adaptive/vanilla LSTM or trigram surprisal and either valence or arousal are all below r = 0.05 (“negligible” by the script's own labeling), so the construction-type interaction in §4.2 is not a byproduct of surprisal and emotion simply tracking each other. One incidental finding worth flagging: valence and arousal themselves correlate at r = −0.37 (moderate), which is somewhat at odds with the circumplex model's usual assumption of near-orthogonal dimensions, and may be worth a note in the thesis discussion.</w:t>
      </w:r>
    </w:p>
    <w:p>
      <w:pPr>
        <w:pStyle w:val="Heading2"/>
        <w:spacing w:after="120" w:before="240"/>
      </w:pPr>
      <w:r>
        <w:t xml:space="preserve">4.5 Lexicon validation</w:t>
      </w:r>
    </w:p>
    <w:p>
      <w:pPr>
        <w:spacing w:after="160" w:line="276"/>
      </w:pPr>
      <w:r>
        <w:t xml:space="preserve">A spot-check against 31 hand-picked emotion words with known circumplex quadrants shows valence-sign accuracy is strong (correct for essentially all non-missing words), but arousal direction is noisier, particularly for low-arousal negative words (दुखी, निराश, हताश, संतुष्ट — “sad,” “disappointed,” “hopeless,” “satisfied” — all flagged ✘ on arousal). A 200-sentence human-annotation sample was exported for a rater to score by hand and correlate against the automatic lexicon scores, but it has not yet been filled in, so the auto-vs-human correlation that would validate the emotion pipeline more rigorously is still outstanding.</w:t>
      </w:r>
    </w:p>
    <w:p>
      <w:pPr>
        <w:pStyle w:val="Heading2"/>
        <w:spacing w:after="120" w:before="240"/>
      </w:pPr>
      <w:r>
        <w:t xml:space="preserve">4.6 Out-of-domain validation (Hindi-PUD)</w:t>
      </w:r>
    </w:p>
    <w:p>
      <w:pPr>
        <w:spacing w:after="160" w:line="276"/>
      </w:pPr>
      <w:r>
        <w:t xml:space="preserve">Re-running the full pipeline on the smaller, out-of-genre Hindi-PUD treebank (207 sentences) shows raw classification accuracy drops sharply (73.83% vs. 94.62% in-domain) — unsurprising given the much smaller sample and genre shift — but both the valence×adaptive (t = +6.49) and arousal×adaptive (t = +3.11) interactions remain significant in the same direction as the in-domain SOV/DOSV result. That's a meaningful robustness check: the emotion-modulation effect isn't an artifact of the specific HUTB training genre.</w:t>
      </w:r>
    </w:p>
    <w:p>
      <w:pPr>
        <w:pStyle w:val="Heading1"/>
        <w:spacing w:after="160" w:before="320"/>
      </w:pPr>
      <w:r>
        <w:t xml:space="preserve">5. Code &amp; Repository Structure</w:t>
      </w:r>
    </w:p>
    <w:p>
      <w:pPr>
        <w:spacing w:after="160" w:line="276"/>
      </w:pPr>
      <w:r>
        <w:t xml:space="preserve">The core library (src/, ~930 lines across parsers, generators, features, and utils) is small, modular, and reused consistently by every numbered script. Each of the 26 pipeline scripts carries a docstring naming the exact paper section or hypothesis it implements, which makes the pipeline unusually easy to audit against the source paper — a real strength for a replication project.</w:t>
      </w:r>
    </w:p>
    <w:p>
      <w:pPr>
        <w:spacing w:after="160" w:line="276"/>
      </w:pPr>
      <w:r>
        <w:t xml:space="preserve">A few structural issues are worth cleaning up before this becomes a thesis appendix or a public repo:</w:t>
      </w:r>
    </w:p>
    <w:p>
      <w:pPr>
        <w:pStyle w:val="ListParagraph"/>
        <w:numPr>
          <w:ilvl w:val="0"/>
          <w:numId w:val="1"/>
        </w:numPr>
        <w:spacing w:after="100" w:line="276"/>
      </w:pPr>
      <w:r>
        <w:t xml:space="preserve">Hardcoded personal paths. Several early scripts (01, 02, 06) hardcode absolute paths like ~/Downloads/Mtech Thesis/UD_Hindi-HDTB-master or ~/Desktop/Mtech Thesis/UD_Hindi-HDTB-master rather than using the src/utils/paths.find_base() helper that later scripts adopt consistently. This makes the earliest pipeline stages non-portable off the original machine.</w:t>
      </w:r>
    </w:p>
    <w:p>
      <w:pPr>
        <w:pStyle w:val="ListParagraph"/>
        <w:numPr>
          <w:ilvl w:val="0"/>
          <w:numId w:val="1"/>
        </w:numPr>
        <w:spacing w:after="100" w:line="276"/>
      </w:pPr>
      <w:r>
        <w:t xml:space="preserve">Mixed conda environments. Several later scripts (19–24) explicitly document that they must be run in a “digit” conda environment (pandas 3.0.1) rather than the “base” environment used for the LSTM/PUD scripts (torch + MPS), with a custom pickle-compatibility shim (script 17) added specifically to bridge pandas version mismatches between the two. This works but is fragile — a single documented environment/lockfile would remove an entire class of “which env do I run this in” bugs.</w:t>
      </w:r>
    </w:p>
    <w:p>
      <w:pPr>
        <w:pStyle w:val="ListParagraph"/>
        <w:numPr>
          <w:ilvl w:val="0"/>
          <w:numId w:val="1"/>
        </w:numPr>
        <w:spacing w:after="100" w:line="276"/>
      </w:pPr>
      <w:r>
        <w:t xml:space="preserve">Legacy code retained alongside the active pipeline. scripts/iterations (13 files) and scripts/extra_diag (17 files) hold earlier drafts and ad hoc debugging scripts superseded by the numbered 01–26 pipeline; data/processed/old_interations holds ~80 MB of superseded pickles from the same earlier iteration. None of this is wrong to keep, but it isn't distinguished from the live pipeline in any README, so a new reader has no way to know which scripts are current without reading dates/content.</w:t>
      </w:r>
    </w:p>
    <w:p>
      <w:pPr>
        <w:pStyle w:val="ListParagraph"/>
        <w:numPr>
          <w:ilvl w:val="0"/>
          <w:numId w:val="1"/>
        </w:numPr>
        <w:spacing w:after="100" w:line="276"/>
      </w:pPr>
      <w:r>
        <w:t xml:space="preserve">Committed virtual environment. venv/ (266 MB) sits inside the analyzed folder. The .gitignore only excludes specific large data/model files, not venv/ — so if this folder is version-controlled as-is, the environment is likely being committed too.</w:t>
      </w:r>
    </w:p>
    <w:p>
      <w:pPr>
        <w:pStyle w:val="ListParagraph"/>
        <w:numPr>
          <w:ilvl w:val="0"/>
          <w:numId w:val="1"/>
        </w:numPr>
        <w:spacing w:after="100" w:line="276"/>
      </w:pPr>
      <w:r>
        <w:t xml:space="preserve">README is a one-line stub (just the repo name), with no setup instructions, environment list, or pipeline overview — notable given how well-documented the individual scripts are.</w:t>
      </w:r>
    </w:p>
    <w:p>
      <w:pPr>
        <w:pStyle w:val="Heading1"/>
        <w:spacing w:after="160" w:before="320"/>
      </w:pPr>
      <w:r>
        <w:t xml:space="preserve">6. Project Status / Data Audit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2F5496" w:color="auto" w:val="clear"/>
            <w:tcMar>
              <w:top w:type="dxa" w:w="60"/>
              <w:left w:type="dxa" w:w="100"/>
              <w:bottom w:type="dxa" w:w="60"/>
              <w:right w:type="dxa" w:w="100"/>
            </w:tcMar>
          </w:tcPr>
          <w:p>
            <w:r>
              <w:rPr>
                <w:b/>
                <w:bCs/>
                <w:color w:val="FFFFFF"/>
                <w:sz w:val="19"/>
                <w:szCs w:val="19"/>
              </w:rPr>
              <w:t xml:space="preserve">Item</w:t>
            </w:r>
          </w:p>
        </w:tc>
        <w:tc>
          <w:tcPr>
            <w:tcW w:type="dxa" w:w="6000"/>
            <w:shd w:fill="2F5496" w:color="auto" w:val="clear"/>
            <w:tcMar>
              <w:top w:type="dxa" w:w="60"/>
              <w:left w:type="dxa" w:w="100"/>
              <w:bottom w:type="dxa" w:w="60"/>
              <w:right w:type="dxa" w:w="100"/>
            </w:tcMar>
          </w:tcPr>
          <w:p>
            <w:r>
              <w:rPr>
                <w:b/>
                <w:bCs/>
                <w:color w:val="FFFFFF"/>
                <w:sz w:val="19"/>
                <w:szCs w:val="19"/>
              </w:rPr>
              <w:t xml:space="preserve">Status</w:t>
            </w:r>
          </w:p>
        </w:tc>
      </w:tr>
      <w:tr>
        <w:tc>
          <w:tcPr>
            <w:tcW w:type="dxa" w:w="3400"/>
            <w:tcMar>
              <w:top w:type="dxa" w:w="60"/>
              <w:left w:type="dxa" w:w="100"/>
              <w:bottom w:type="dxa" w:w="60"/>
              <w:right w:type="dxa" w:w="100"/>
            </w:tcMar>
          </w:tcPr>
          <w:p>
            <w:pPr>
              <w:jc w:val="left"/>
            </w:pPr>
            <w:r>
              <w:rPr>
                <w:b w:val="false"/>
                <w:bCs w:val="false"/>
                <w:sz w:val="19"/>
                <w:szCs w:val="19"/>
              </w:rPr>
              <w:t xml:space="preserve">MTP-I replication (Tables 2–4)</w:t>
            </w:r>
          </w:p>
        </w:tc>
        <w:tc>
          <w:tcPr>
            <w:tcW w:type="dxa" w:w="6000"/>
            <w:tcMar>
              <w:top w:type="dxa" w:w="60"/>
              <w:left w:type="dxa" w:w="100"/>
              <w:bottom w:type="dxa" w:w="60"/>
              <w:right w:type="dxa" w:w="100"/>
            </w:tcMar>
          </w:tcPr>
          <w:p>
            <w:pPr>
              <w:jc w:val="left"/>
            </w:pPr>
            <w:r>
              <w:rPr>
                <w:b w:val="false"/>
                <w:bCs w:val="false"/>
                <w:sz w:val="19"/>
                <w:szCs w:val="19"/>
              </w:rPr>
              <w:t xml:space="preserve">Complete. Full-model accuracy within 0.44 pts of the paper; two individual features (LSTM, adaptive LSTM) under-replicate by ~3.6–3.7 pts.</w:t>
            </w:r>
          </w:p>
        </w:tc>
      </w:tr>
      <w:tr>
        <w:tc>
          <w:tcPr>
            <w:tcW w:type="dxa" w:w="3400"/>
            <w:shd w:fill="F2F2F2" w:color="auto" w:val="clear"/>
            <w:tcMar>
              <w:top w:type="dxa" w:w="60"/>
              <w:left w:type="dxa" w:w="100"/>
              <w:bottom w:type="dxa" w:w="60"/>
              <w:right w:type="dxa" w:w="100"/>
            </w:tcMar>
          </w:tcPr>
          <w:p>
            <w:pPr>
              <w:jc w:val="left"/>
            </w:pPr>
            <w:r>
              <w:rPr>
                <w:b w:val="false"/>
                <w:bCs w:val="false"/>
                <w:sz w:val="19"/>
                <w:szCs w:val="19"/>
              </w:rPr>
              <w:t xml:space="preserve">MTP-II emotion extension, pooled test</w:t>
            </w:r>
          </w:p>
        </w:tc>
        <w:tc>
          <w:tcPr>
            <w:tcW w:type="dxa" w:w="6000"/>
            <w:shd w:fill="F2F2F2" w:color="auto" w:val="clear"/>
            <w:tcMar>
              <w:top w:type="dxa" w:w="60"/>
              <w:left w:type="dxa" w:w="100"/>
              <w:bottom w:type="dxa" w:w="60"/>
              <w:right w:type="dxa" w:w="100"/>
            </w:tcMar>
          </w:tcPr>
          <w:p>
            <w:pPr>
              <w:jc w:val="left"/>
            </w:pPr>
            <w:r>
              <w:rPr>
                <w:b w:val="false"/>
                <w:bCs w:val="false"/>
                <w:sz w:val="19"/>
                <w:szCs w:val="19"/>
              </w:rPr>
              <w:t xml:space="preserve">Complete, negative result (no significant pooled effect) — itself a finding worth reporting, not a gap.</w:t>
            </w:r>
          </w:p>
        </w:tc>
      </w:tr>
      <w:tr>
        <w:tc>
          <w:tcPr>
            <w:tcW w:type="dxa" w:w="3400"/>
            <w:tcMar>
              <w:top w:type="dxa" w:w="60"/>
              <w:left w:type="dxa" w:w="100"/>
              <w:bottom w:type="dxa" w:w="60"/>
              <w:right w:type="dxa" w:w="100"/>
            </w:tcMar>
          </w:tcPr>
          <w:p>
            <w:pPr>
              <w:jc w:val="left"/>
            </w:pPr>
            <w:r>
              <w:rPr>
                <w:b w:val="false"/>
                <w:bCs w:val="false"/>
                <w:sz w:val="19"/>
                <w:szCs w:val="19"/>
              </w:rPr>
              <w:t xml:space="preserve">MTP-II construction-type interaction</w:t>
            </w:r>
          </w:p>
        </w:tc>
        <w:tc>
          <w:tcPr>
            <w:tcW w:type="dxa" w:w="6000"/>
            <w:tcMar>
              <w:top w:type="dxa" w:w="60"/>
              <w:left w:type="dxa" w:w="100"/>
              <w:bottom w:type="dxa" w:w="60"/>
              <w:right w:type="dxa" w:w="100"/>
            </w:tcMar>
          </w:tcPr>
          <w:p>
            <w:pPr>
              <w:jc w:val="left"/>
            </w:pPr>
            <w:r>
              <w:rPr>
                <w:b w:val="false"/>
                <w:bCs w:val="false"/>
                <w:sz w:val="19"/>
                <w:szCs w:val="19"/>
              </w:rPr>
              <w:t xml:space="preserve">Complete, positive and significant, sign-flips by construction — the project's most novel result.</w:t>
            </w:r>
          </w:p>
        </w:tc>
      </w:tr>
      <w:tr>
        <w:tc>
          <w:tcPr>
            <w:tcW w:type="dxa" w:w="3400"/>
            <w:shd w:fill="F2F2F2" w:color="auto" w:val="clear"/>
            <w:tcMar>
              <w:top w:type="dxa" w:w="60"/>
              <w:left w:type="dxa" w:w="100"/>
              <w:bottom w:type="dxa" w:w="60"/>
              <w:right w:type="dxa" w:w="100"/>
            </w:tcMar>
          </w:tcPr>
          <w:p>
            <w:pPr>
              <w:jc w:val="left"/>
            </w:pPr>
            <w:r>
              <w:rPr>
                <w:b w:val="false"/>
                <w:bCs w:val="false"/>
                <w:sz w:val="19"/>
                <w:szCs w:val="19"/>
              </w:rPr>
              <w:t xml:space="preserve">Multicollinearity controls</w:t>
            </w:r>
          </w:p>
        </w:tc>
        <w:tc>
          <w:tcPr>
            <w:tcW w:type="dxa" w:w="6000"/>
            <w:shd w:fill="F2F2F2" w:color="auto" w:val="clear"/>
            <w:tcMar>
              <w:top w:type="dxa" w:w="60"/>
              <w:left w:type="dxa" w:w="100"/>
              <w:bottom w:type="dxa" w:w="60"/>
              <w:right w:type="dxa" w:w="100"/>
            </w:tcMar>
          </w:tcPr>
          <w:p>
            <w:pPr>
              <w:jc w:val="left"/>
            </w:pPr>
            <w:r>
              <w:rPr>
                <w:b w:val="false"/>
                <w:bCs w:val="false"/>
                <w:sz w:val="19"/>
                <w:szCs w:val="19"/>
              </w:rPr>
              <w:t xml:space="preserve">Complete for both MTP-I surprisal features and MTP-II interaction terms (mean-centering applied and documented).</w:t>
            </w:r>
          </w:p>
        </w:tc>
      </w:tr>
      <w:tr>
        <w:tc>
          <w:tcPr>
            <w:tcW w:type="dxa" w:w="3400"/>
            <w:tcMar>
              <w:top w:type="dxa" w:w="60"/>
              <w:left w:type="dxa" w:w="100"/>
              <w:bottom w:type="dxa" w:w="60"/>
              <w:right w:type="dxa" w:w="100"/>
            </w:tcMar>
          </w:tcPr>
          <w:p>
            <w:pPr>
              <w:jc w:val="left"/>
            </w:pPr>
            <w:r>
              <w:rPr>
                <w:b w:val="false"/>
                <w:bCs w:val="false"/>
                <w:sz w:val="19"/>
                <w:szCs w:val="19"/>
              </w:rPr>
              <w:t xml:space="preserve">Human validation of VAD lexicon</w:t>
            </w:r>
          </w:p>
        </w:tc>
        <w:tc>
          <w:tcPr>
            <w:tcW w:type="dxa" w:w="6000"/>
            <w:tcMar>
              <w:top w:type="dxa" w:w="60"/>
              <w:left w:type="dxa" w:w="100"/>
              <w:bottom w:type="dxa" w:w="60"/>
              <w:right w:type="dxa" w:w="100"/>
            </w:tcMar>
          </w:tcPr>
          <w:p>
            <w:pPr>
              <w:jc w:val="left"/>
            </w:pPr>
            <w:r>
              <w:rPr>
                <w:b w:val="false"/>
                <w:bCs w:val="false"/>
                <w:sz w:val="19"/>
                <w:szCs w:val="19"/>
              </w:rPr>
              <w:t xml:space="preserve">Incomplete. 200-sentence sample exported (data/results/human_validation_sample.csv) but human_valence/human_arousal columns are still empty; auto-vs-human correlation cannot yet be computed.</w:t>
            </w:r>
          </w:p>
        </w:tc>
      </w:tr>
      <w:tr>
        <w:tc>
          <w:tcPr>
            <w:tcW w:type="dxa" w:w="3400"/>
            <w:shd w:fill="F2F2F2" w:color="auto" w:val="clear"/>
            <w:tcMar>
              <w:top w:type="dxa" w:w="60"/>
              <w:left w:type="dxa" w:w="100"/>
              <w:bottom w:type="dxa" w:w="60"/>
              <w:right w:type="dxa" w:w="100"/>
            </w:tcMar>
          </w:tcPr>
          <w:p>
            <w:pPr>
              <w:jc w:val="left"/>
            </w:pPr>
            <w:r>
              <w:rPr>
                <w:b w:val="false"/>
                <w:bCs w:val="false"/>
                <w:sz w:val="19"/>
                <w:szCs w:val="19"/>
              </w:rPr>
              <w:t xml:space="preserve">Out-of-domain (Hindi-PUD) validation</w:t>
            </w:r>
          </w:p>
        </w:tc>
        <w:tc>
          <w:tcPr>
            <w:tcW w:type="dxa" w:w="6000"/>
            <w:shd w:fill="F2F2F2" w:color="auto" w:val="clear"/>
            <w:tcMar>
              <w:top w:type="dxa" w:w="60"/>
              <w:left w:type="dxa" w:w="100"/>
              <w:bottom w:type="dxa" w:w="60"/>
              <w:right w:type="dxa" w:w="100"/>
            </w:tcMar>
          </w:tcPr>
          <w:p>
            <w:pPr>
              <w:jc w:val="left"/>
            </w:pPr>
            <w:r>
              <w:rPr>
                <w:b w:val="false"/>
                <w:bCs w:val="false"/>
                <w:sz w:val="19"/>
                <w:szCs w:val="19"/>
              </w:rPr>
              <w:t xml:space="preserve">Complete for the interaction effect; baseline accuracy comparison is affected by small n (207) and should be caveated accordingly.</w:t>
            </w:r>
          </w:p>
        </w:tc>
      </w:tr>
      <w:tr>
        <w:tc>
          <w:tcPr>
            <w:tcW w:type="dxa" w:w="3400"/>
            <w:tcMar>
              <w:top w:type="dxa" w:w="60"/>
              <w:left w:type="dxa" w:w="100"/>
              <w:bottom w:type="dxa" w:w="60"/>
              <w:right w:type="dxa" w:w="100"/>
            </w:tcMar>
          </w:tcPr>
          <w:p>
            <w:pPr>
              <w:jc w:val="left"/>
            </w:pPr>
            <w:r>
              <w:rPr>
                <w:b w:val="false"/>
                <w:bCs w:val="false"/>
                <w:sz w:val="19"/>
                <w:szCs w:val="19"/>
              </w:rPr>
              <w:t xml:space="preserve">PCFG absolute (non-differenced) scores</w:t>
            </w:r>
          </w:p>
        </w:tc>
        <w:tc>
          <w:tcPr>
            <w:tcW w:type="dxa" w:w="6000"/>
            <w:tcMar>
              <w:top w:type="dxa" w:w="60"/>
              <w:left w:type="dxa" w:w="100"/>
              <w:bottom w:type="dxa" w:w="60"/>
              <w:right w:type="dxa" w:w="100"/>
            </w:tcMar>
          </w:tcPr>
          <w:p>
            <w:pPr>
              <w:jc w:val="left"/>
            </w:pPr>
            <w:r>
              <w:rPr>
                <w:b w:val="false"/>
                <w:bCs w:val="false"/>
                <w:sz w:val="19"/>
                <w:szCs w:val="19"/>
              </w:rPr>
              <w:t xml:space="preserve">Explicitly deferred by script 26's own docstring — needs a Berkeley Parser re-run before the raw per-sentence dataset is fully populated.</w:t>
            </w:r>
          </w:p>
        </w:tc>
      </w:tr>
      <w:tr>
        <w:tc>
          <w:tcPr>
            <w:tcW w:type="dxa" w:w="3400"/>
            <w:shd w:fill="F2F2F2" w:color="auto" w:val="clear"/>
            <w:tcMar>
              <w:top w:type="dxa" w:w="60"/>
              <w:left w:type="dxa" w:w="100"/>
              <w:bottom w:type="dxa" w:w="60"/>
              <w:right w:type="dxa" w:w="100"/>
            </w:tcMar>
          </w:tcPr>
          <w:p>
            <w:pPr>
              <w:jc w:val="left"/>
            </w:pPr>
            <w:r>
              <w:rPr>
                <w:b w:val="false"/>
                <w:bCs w:val="false"/>
                <w:sz w:val="19"/>
                <w:szCs w:val="19"/>
              </w:rPr>
              <w:t xml:space="preserve">info_status_diff feature</w:t>
            </w:r>
          </w:p>
        </w:tc>
        <w:tc>
          <w:tcPr>
            <w:tcW w:type="dxa" w:w="6000"/>
            <w:shd w:fill="F2F2F2" w:color="auto" w:val="clear"/>
            <w:tcMar>
              <w:top w:type="dxa" w:w="60"/>
              <w:left w:type="dxa" w:w="100"/>
              <w:bottom w:type="dxa" w:w="60"/>
              <w:right w:type="dxa" w:w="100"/>
            </w:tcMar>
          </w:tcPr>
          <w:p>
            <w:pPr>
              <w:jc w:val="left"/>
            </w:pPr>
            <w:r>
              <w:rPr>
                <w:b w:val="false"/>
                <w:bCs w:val="false"/>
                <w:sz w:val="19"/>
                <w:szCs w:val="19"/>
              </w:rPr>
              <w:t xml:space="preserve">Flagged SPARSE by the project's own diagnostics (74–78% exactly zero at both pairwise and per-sentence level) — consistent with it being the smallest-magnitude (though still significant) coefficient in Table 2.</w:t>
            </w:r>
          </w:p>
        </w:tc>
      </w:tr>
    </w:tbl>
    <w:p>
      <w:pPr>
        <w:pStyle w:val="Heading1"/>
        <w:spacing w:after="160" w:before="320"/>
      </w:pPr>
      <w:r>
        <w:t xml:space="preserve">7. Recommendations</w:t>
      </w:r>
    </w:p>
    <w:p>
      <w:pPr>
        <w:pStyle w:val="ListParagraph"/>
        <w:numPr>
          <w:ilvl w:val="0"/>
          <w:numId w:val="1"/>
        </w:numPr>
        <w:spacing w:after="100" w:line="276"/>
      </w:pPr>
      <w:r>
        <w:t xml:space="preserve">Complete the human-annotation pass on the 200-sentence emotion-validation sample — it's the one analysis that's fully scaffolded but not executed, and it directly strengthens the credibility of every emotion-based result in §4.</w:t>
      </w:r>
    </w:p>
    <w:p>
      <w:pPr>
        <w:pStyle w:val="ListParagraph"/>
        <w:numPr>
          <w:ilvl w:val="0"/>
          <w:numId w:val="1"/>
        </w:numPr>
        <w:spacing w:after="100" w:line="276"/>
      </w:pPr>
      <w:r>
        <w:t xml:space="preserve">Double-check the DO/IO subset accuracies noted in §3.1 (this replication exceeds the paper on both subsets while trailing slightly on the pooled full-set number) against exact subset sizes, to rule out a sample-size or averaging artifact before it goes into a writeup.</w:t>
      </w:r>
    </w:p>
    <w:p>
      <w:pPr>
        <w:pStyle w:val="ListParagraph"/>
        <w:numPr>
          <w:ilvl w:val="0"/>
          <w:numId w:val="1"/>
        </w:numPr>
        <w:spacing w:after="100" w:line="276"/>
      </w:pPr>
      <w:r>
        <w:t xml:space="preserve">Re-run the Berkeley PCFG scoring for script 26's raw dataset so the pre-Joachims export is complete, if that table is needed for future analysis.</w:t>
      </w:r>
    </w:p>
    <w:p>
      <w:pPr>
        <w:pStyle w:val="ListParagraph"/>
        <w:numPr>
          <w:ilvl w:val="0"/>
          <w:numId w:val="1"/>
        </w:numPr>
        <w:spacing w:after="100" w:line="276"/>
      </w:pPr>
      <w:r>
        <w:t xml:space="preserve">Consolidate the two conda environments (or at minimum, freeze exact dependency versions for each) — the current split is a maintenance risk, especially since script 17 exists solely to patch around it.</w:t>
      </w:r>
    </w:p>
    <w:p>
      <w:pPr>
        <w:pStyle w:val="ListParagraph"/>
        <w:numPr>
          <w:ilvl w:val="0"/>
          <w:numId w:val="1"/>
        </w:numPr>
        <w:spacing w:after="100" w:line="276"/>
      </w:pPr>
      <w:r>
        <w:t xml:space="preserve">Replace hardcoded personal paths in scripts 01/02/06 with the existing find_base() helper, and add a short README covering setup, the two conda environments, and which scripts/ subfolders are live vs. legacy.</w:t>
      </w:r>
    </w:p>
    <w:p>
      <w:pPr>
        <w:pStyle w:val="ListParagraph"/>
        <w:numPr>
          <w:ilvl w:val="0"/>
          <w:numId w:val="1"/>
        </w:numPr>
        <w:spacing w:after="100" w:line="276"/>
      </w:pPr>
      <w:r>
        <w:t xml:space="preserve">Given the strength of the construction-type interaction finding (§4.2), consider making that stratified analysis the primary framing of the MTP-II results rather than the pooled comparison, since the pooled test alone would understate what the data actually show.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2026-08-17T16:55:07.171Z</dcterms:created>
  <dcterms:modified xsi:type="dcterms:W3CDTF">2026-08-17T16:55:07.171Z</dcterms:modified>
</cp:coreProperties>
</file>

<file path=docProps/custom.xml><?xml version="1.0" encoding="utf-8"?>
<Properties xmlns="http://schemas.openxmlformats.org/officeDocument/2006/custom-properties" xmlns:vt="http://schemas.openxmlformats.org/officeDocument/2006/docPropsVTypes"/>
</file>