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500"/>
        <w:jc w:val="center"/>
      </w:pPr>
      <w:r>
        <w:rPr>
          <w:b/>
          <w:bCs/>
          <w:color w:val="0F2A43"/>
          <w:sz w:val="88"/>
          <w:szCs w:val="88"/>
        </w:rPr>
        <w:t xml:space="preserve">AMANA</w:t>
      </w:r>
    </w:p>
    <w:p>
      <w:pPr>
        <w:spacing w:after="0" w:before="40"/>
        <w:jc w:val="center"/>
      </w:pPr>
      <w:r>
        <w:rPr>
          <w:b/>
          <w:bCs/>
          <w:color w:val="C8A24B"/>
          <w:spacing w:val="30"/>
          <w:sz w:val="22"/>
          <w:szCs w:val="22"/>
        </w:rPr>
        <w:t xml:space="preserve">AI COMPLIANCE FOR THE BUSINESSES REGULATORS WATCH MOST</w:t>
      </w:r>
    </w:p>
    <w:p>
      <w:pPr>
        <w:spacing w:after="0" w:before="60"/>
        <w:jc w:val="center"/>
      </w:pPr>
      <w:r>
        <w:rPr>
          <w:i/>
          <w:iCs/>
          <w:color w:val="5B6670"/>
          <w:sz w:val="16"/>
          <w:szCs w:val="16"/>
        </w:rPr>
        <w:t xml:space="preserve">(working name — see naming note)</w:t>
      </w:r>
    </w:p>
    <w:p>
      <w:pPr>
        <w:spacing w:after="340"/>
      </w:pPr>
    </w:p>
    <w:p>
      <w:pPr>
        <w:spacing w:after="0"/>
        <w:jc w:val="center"/>
      </w:pPr>
      <w:r>
        <w:rPr>
          <w:b/>
          <w:bCs/>
          <w:color w:val="1F5C8A"/>
          <w:sz w:val="34"/>
          <w:szCs w:val="34"/>
        </w:rPr>
        <w:t xml:space="preserve">Founding Strategy &amp; Business Plan</w:t>
      </w:r>
    </w:p>
    <w:p>
      <w:pPr>
        <w:spacing w:before="60"/>
        <w:jc w:val="center"/>
      </w:pPr>
      <w:r>
        <w:rPr>
          <w:i/>
          <w:iCs/>
          <w:color w:val="5B6670"/>
          <w:sz w:val="21"/>
          <w:szCs w:val="21"/>
        </w:rPr>
        <w:t xml:space="preserve">From market research to a defensible path toward a category-leading company</w:t>
      </w:r>
    </w:p>
    <w:p>
      <w:pPr>
        <w:spacing w:after="500"/>
      </w:pPr>
    </w:p>
    <w:tbl>
      <w:tblPr>
        <w:tblW w:type="dxa" w:w="66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300"/>
      </w:tblGrid>
      <w:tr>
        <w:tc>
          <w:tcPr>
            <w:tcW w:type="dxa" w:w="330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0F2A4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Prepared for</w:t>
            </w:r>
          </w:p>
        </w:tc>
        <w:tc>
          <w:tcPr>
            <w:tcW w:type="dxa" w:w="330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EA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Vatsal — Founder &amp; CEO</w:t>
            </w:r>
          </w:p>
        </w:tc>
      </w:tr>
      <w:tr>
        <w:tc>
          <w:tcPr>
            <w:tcW w:type="dxa" w:w="330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0F2A4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Prepared by</w:t>
            </w:r>
          </w:p>
        </w:tc>
        <w:tc>
          <w:tcPr>
            <w:tcW w:type="dxa" w:w="330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EA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Fable — acting Cofounder &amp; CTO</w:t>
            </w:r>
          </w:p>
        </w:tc>
      </w:tr>
      <w:tr>
        <w:tc>
          <w:tcPr>
            <w:tcW w:type="dxa" w:w="330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0F2A4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Location</w:t>
            </w:r>
          </w:p>
        </w:tc>
        <w:tc>
          <w:tcPr>
            <w:tcW w:type="dxa" w:w="330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EA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Dubai, UAE</w:t>
            </w:r>
          </w:p>
        </w:tc>
      </w:tr>
      <w:tr>
        <w:tc>
          <w:tcPr>
            <w:tcW w:type="dxa" w:w="330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0F2A4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330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EA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6 July 2026</w:t>
            </w:r>
          </w:p>
        </w:tc>
      </w:tr>
      <w:tr>
        <w:tc>
          <w:tcPr>
            <w:tcW w:type="dxa" w:w="330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0F2A4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330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EA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Confidential — v1 Draft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140" w:line="276"/>
      </w:pPr>
      <w:r>
        <w:t xml:space="preserve">The recommendation is to build </w:t>
      </w:r>
      <w:r>
        <w:rPr>
          <w:b/>
          <w:bCs/>
        </w:rPr>
        <w:t xml:space="preserve">Amana</w:t>
      </w:r>
      <w:r>
        <w:t xml:space="preserve"> — an AI-native compliance platform for the UAE's regulated small and mid-sized businesses — entering through the single sharpest, most under-served wedge in the market: </w:t>
      </w:r>
      <w:r>
        <w:rPr>
          <w:b/>
          <w:bCs/>
        </w:rPr>
        <w:t xml:space="preserve">anti-money-laundering (AML) compliance for small DNFBPs</w:t>
      </w:r>
      <w:r>
        <w:t xml:space="preserve"> (Designated Non-Financial Businesses and Professions: real-estate brokerages, gold and precious-metals dealers, corporate-service and company-formation agents, auditors, accountants and lawyers).</w:t>
      </w:r>
    </w:p>
    <w:p>
      <w:pPr>
        <w:spacing w:after="140" w:line="276"/>
      </w:pPr>
      <w:r>
        <w:t xml:space="preserve">We start as a </w:t>
      </w:r>
      <w:r>
        <w:rPr>
          <w:b/>
          <w:bCs/>
        </w:rPr>
        <w:t xml:space="preserve">done-for-you service</w:t>
      </w:r>
      <w:r>
        <w:t xml:space="preserve"> (AI-augmented outsourced-MLRO: customer due diligence, name/sanctions screening, and drafting of Suspicious Transaction Reports into the government's goAML system), productize the repeatable work into </w:t>
      </w:r>
      <w:r>
        <w:rPr>
          <w:b/>
          <w:bCs/>
        </w:rPr>
        <w:t xml:space="preserve">self-serve software</w:t>
      </w:r>
      <w:r>
        <w:t xml:space="preserve">, then expand module-by-module into the full compliance stack (Corporate Tax, VAT, UBO, e-invoicing) to become the compliance operating system for tens of thousands of UAE businesses — and from there, across the GCC and up-market to fintechs and banks.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6EFDD" w:sz="2"/>
              <w:left w:val="single" w:color="C8A24B" w:sz="24"/>
              <w:bottom w:val="single" w:color="F6EFDD" w:sz="2"/>
              <w:right w:val="single" w:color="F6EFDD" w:sz="2"/>
            </w:tcBorders>
            <w:shd w:fill="F6EFDD" w:val="clear"/>
            <w:tcMar>
              <w:top w:type="dxa" w:w="130"/>
              <w:left w:type="dxa" w:w="180"/>
              <w:bottom w:type="dxa" w:w="13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2A43"/>
                <w:sz w:val="21"/>
                <w:szCs w:val="21"/>
              </w:rPr>
              <w:t xml:space="preserve">Why this wins — the one-paragraph thesis</w:t>
            </w:r>
          </w:p>
          <w:p>
            <w:pPr>
              <w:spacing w:after="50" w:line="264"/>
            </w:pPr>
            <w:r>
              <w:rPr>
                <w:color w:val="222222"/>
                <w:sz w:val="20"/>
                <w:szCs w:val="20"/>
              </w:rPr>
              <w:t xml:space="preserve">Every headline AI play in Dubai already has a funded local competitor. The openings left for a solo technical founder are narrow, compliance-forced wedges that funded generalists structurally ignore: a single reachable decision-maker, a regulatory forcing-function, undeniable dirham ROI, and an incumbent that abandoned the SME segment. AML for small DNFBPs is the sharpest such wedge in the entire UAE market — and it is a proven global category (RegTech) with multiple billion-dollar outcomes to aim at.</w:t>
            </w:r>
          </w:p>
        </w:tc>
      </w:tr>
    </w:tbl>
    <w:p>
      <w:pPr>
        <w:pStyle w:val="Heading3"/>
      </w:pPr>
      <w:r>
        <w:t xml:space="preserve">The evidence, in five numbers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1F5C8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Signal</w:t>
            </w:r>
          </w:p>
        </w:tc>
        <w:tc>
          <w:tcPr>
            <w:tcW w:type="dxa" w:w="702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1F5C8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the research found</w:t>
            </w:r>
          </w:p>
        </w:tc>
      </w:tr>
      <w:tr>
        <w:tc>
          <w:tcPr>
            <w:tcW w:type="dxa" w:w="234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Painful</w:t>
            </w:r>
          </w:p>
        </w:tc>
        <w:tc>
          <w:tcPr>
            <w:tcW w:type="dxa" w:w="702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UAE Ministry of Economy fined DNFBPs &gt;AED 42M in H1 2025 and &gt;AED 130M since late 2022. Per-violation fines run AED 50,000–5,000,000; MLRO liability is personal and non-transferable.</w:t>
            </w:r>
          </w:p>
        </w:tc>
      </w:tr>
      <w:tr>
        <w:tc>
          <w:tcPr>
            <w:tcW w:type="dxa" w:w="234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Forced</w:t>
            </w:r>
          </w:p>
        </w:tc>
        <w:tc>
          <w:tcPr>
            <w:tcW w:type="dxa" w:w="702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All ~15,000 DNFBPs must register on goAML, appoint an MLRO, screen customers and file STRs. The regime is hardening, not softening — new Federal Law No. 10 of 2025 and Cabinet Resolution 134 of 2025.</w:t>
            </w:r>
          </w:p>
        </w:tc>
      </w:tr>
      <w:tr>
        <w:tc>
          <w:tcPr>
            <w:tcW w:type="dxa" w:w="234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Enumerable</w:t>
            </w:r>
          </w:p>
        </w:tc>
        <w:tc>
          <w:tcPr>
            <w:tcW w:type="dxa" w:w="702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Buyers are listable from RERA / DMCC / DED registries and LinkedIn — ideal for cold outreach when you have no network.</w:t>
            </w:r>
          </w:p>
        </w:tc>
      </w:tr>
      <w:tr>
        <w:tc>
          <w:tcPr>
            <w:tcW w:type="dxa" w:w="234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Under-served</w:t>
            </w:r>
          </w:p>
        </w:tc>
        <w:tc>
          <w:tcPr>
            <w:tcW w:type="dxa" w:w="702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Incumbents (ComplyAdvantage, Sumsub, Azakaw, Tracefort) target banks and fintechs. The 5-person brokerage and gold shop are ignored, and AI STR-narrative drafting is genuinely uncovered.</w:t>
            </w:r>
          </w:p>
        </w:tc>
      </w:tr>
      <w:tr>
        <w:tc>
          <w:tcPr>
            <w:tcW w:type="dxa" w:w="234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Scalable</w:t>
            </w:r>
          </w:p>
        </w:tc>
        <w:tc>
          <w:tcPr>
            <w:tcW w:type="dxa" w:w="702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Recurring, sticky compliance revenue; a natural land-and-expand into the whole back-office; and a data moat from accumulated UAE screening and STR patterns.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What we are asking of the plan</w:t>
      </w:r>
    </w:p>
    <w:p>
      <w:pPr>
        <w:spacing w:after="140" w:line="276"/>
      </w:pPr>
      <w:r>
        <w:t xml:space="preserve">Fit to founder: </w:t>
      </w:r>
      <w:r>
        <w:t xml:space="preserve">technical, can build the MVP solo; AED 100k–500k of capital; hybrid service→product; no industry network. </w:t>
      </w:r>
      <w:r>
        <w:rPr>
          <w:i/>
          <w:iCs/>
        </w:rPr>
        <w:t xml:space="preserve">Every element below is chosen to match those four constraints.</w:t>
      </w:r>
    </w:p>
    <w:p>
      <w:r>
        <w:br w:type="page"/>
      </w:r>
    </w:p>
    <w:p>
      <w:pPr>
        <w:pStyle w:val="Heading1"/>
      </w:pPr>
      <w:r>
        <w:t xml:space="preserve">2. The Strategic Logic</w:t>
      </w:r>
    </w:p>
    <w:p>
      <w:pPr>
        <w:spacing w:after="140" w:line="276"/>
      </w:pPr>
      <w:r>
        <w:t xml:space="preserve">Three facts about the founder and the market drive the entire strategy. Get these right and the specific idea almost chooses itself.</w:t>
      </w:r>
    </w:p>
    <w:p>
      <w:pPr>
        <w:pStyle w:val="Heading3"/>
      </w:pPr>
      <w:r>
        <w:t xml:space="preserve">2.1 The Dubai AI market rewards narrowness, not breadth</w:t>
      </w:r>
    </w:p>
    <w:p>
      <w:pPr>
        <w:spacing w:after="140" w:line="276"/>
      </w:pPr>
      <w:r>
        <w:t xml:space="preserve">The UAE is the most AI-enthusiastic market on earth — the first country where AI adoption crossed 70% of the working-age population (Microsoft, Q1 2026), and 84% of GCC organisations have adopted AI in at least one function (McKinsey, Dec 2025). But enthusiasm is not the opportunity. The opportunity is the execution gap: only ~31% of GCC organisations have scaled AI, only ~11% attribute real earnings to it, and 72%+ have paused or cancelled AI projects (McKinsey; Qlik). Money flows to whoever closes a specific, painful gap — not to whoever has the broadest AI capability.</w:t>
      </w:r>
    </w:p>
    <w:p>
      <w:pPr>
        <w:spacing w:after="140" w:line="276"/>
      </w:pPr>
      <w:r>
        <w:t xml:space="preserve">Meanwhile, state-backed champions (G42, Core42, Presight) and well-funded startups already own the headline categories. Generic chatbots, marketing-content AI, thin “AI wrappers” and horizontal AI consulting are </w:t>
      </w:r>
      <w:r>
        <w:rPr>
          <w:b/>
          <w:bCs/>
        </w:rPr>
        <w:t xml:space="preserve">saturated</w:t>
      </w:r>
      <w:r>
        <w:t xml:space="preserve"> and flagged by investors as red flags. A solo founder cannot win breadth. A solo founder can win a </w:t>
      </w:r>
      <w:r>
        <w:rPr>
          <w:b/>
          <w:bCs/>
        </w:rPr>
        <w:t xml:space="preserve">narrow, defensible wedge</w:t>
      </w:r>
      <w:r>
        <w:t xml:space="preserve"> that the funded players are too big to chase.</w:t>
      </w:r>
    </w:p>
    <w:p>
      <w:pPr>
        <w:pStyle w:val="Heading3"/>
      </w:pPr>
      <w:r>
        <w:t xml:space="preserve">2.2 A no-network founder needs enumerable buyers and a forcing-function</w:t>
      </w:r>
    </w:p>
    <w:p>
      <w:pPr>
        <w:spacing w:after="140" w:line="276"/>
      </w:pPr>
      <w:r>
        <w:t xml:space="preserve">Selling B2B in the UAE is relationship-first, which normally punishes newcomers. Two things neutralise that disadvantage: (1) buyers you can list by name from public registries, so you are not waiting for warm intros; and (2) a regulatory forcing-function that makes the buyer act on a deadline out of fear of a fine — which shortens the trust-building a cold founder would otherwise need. Compliance is the rare B2B category that offers both.</w:t>
      </w:r>
    </w:p>
    <w:p>
      <w:pPr>
        <w:pStyle w:val="Heading3"/>
      </w:pPr>
      <w:r>
        <w:t xml:space="preserve">2.3 The hybrid model turns a weakness into a data moat</w:t>
      </w:r>
    </w:p>
    <w:p>
      <w:pPr>
        <w:spacing w:after="140" w:line="276"/>
      </w:pPr>
      <w:r>
        <w:t xml:space="preserve">With capital but no network, the fastest revenue is a done-for-you service. Done well, the service is not a detour from the product — it is how you acquire the three things a solo founder otherwise lacks: reference customers, labelled domain data (real STRs, real screening decisions, real UAE typologies), and the credibility to sell a compliance product. You productize the repeatable 80%, keep the human-in-the-loop 20% that keeps you defensible and liability-safe, and compound the data into a moat competitors cannot buy.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F1F7" w:sz="2"/>
              <w:left w:val="single" w:color="1F5C8A" w:sz="24"/>
              <w:bottom w:val="single" w:color="EAF1F7" w:sz="2"/>
              <w:right w:val="single" w:color="EAF1F7" w:sz="2"/>
            </w:tcBorders>
            <w:shd w:fill="EAF1F7" w:val="clear"/>
            <w:tcMar>
              <w:top w:type="dxa" w:w="130"/>
              <w:left w:type="dxa" w:w="180"/>
              <w:bottom w:type="dxa" w:w="13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2A43"/>
                <w:sz w:val="21"/>
                <w:szCs w:val="21"/>
              </w:rPr>
              <w:t xml:space="preserve">The through-line</w:t>
            </w:r>
          </w:p>
          <w:p>
            <w:pPr>
              <w:spacing w:after="50" w:line="264"/>
            </w:pPr>
            <w:r>
              <w:rPr>
                <w:color w:val="222222"/>
                <w:sz w:val="20"/>
                <w:szCs w:val="20"/>
              </w:rPr>
              <w:t xml:space="preserve">Narrow wedge (fast, defensible) → forcing-function + enumerable buyers (beats the no-network problem) → service-first (fastest cash + proprietary data) → productize and expand modules (the scalable, billion-dollar story). AML-for-DNFBPs is the one idea that satisfies all four at once.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Market Research: Dubai / UAE AI Landscape</w:t>
      </w:r>
    </w:p>
    <w:p>
      <w:pPr>
        <w:spacing w:after="140" w:line="276"/>
      </w:pPr>
      <w:r>
        <w:t xml:space="preserve">Condensed findings from ~90 sourced web searches. Full citations are in the Appendix. Vendor-sourced figures are directional; government figures are firm.</w:t>
      </w:r>
    </w:p>
    <w:p>
      <w:pPr>
        <w:pStyle w:val="Heading3"/>
      </w:pPr>
      <w:r>
        <w:t xml:space="preserve">3.1 Market size and momentum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Market size (wide vendor divergence — cite ranges): </w:t>
      </w:r>
      <w:r>
        <w:rPr>
          <w:b/>
          <w:bCs/>
        </w:rPr>
        <w:t xml:space="preserve">UAE AI market ~US$3.5–7.8B in 2025</w:t>
      </w:r>
      <w:r>
        <w:t xml:space="preserve">, projected to US$46B (Trends, 2030) up to US$97B (Grand View, 2033); GCC AI market ~US$12.3B in 2025.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Investment wall of money: </w:t>
      </w:r>
      <w:r>
        <w:rPr>
          <w:b/>
          <w:bCs/>
        </w:rPr>
        <w:t xml:space="preserve">UAE AI-related investment 2024–25 exceeded ~US$148B</w:t>
      </w:r>
      <w:r>
        <w:t xml:space="preserve"> (Stargate UAE, MGX's US$49B Fund I, Microsoft's US$1.5B into G42). AI job postings doubled 2021→2024.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Government pull is extraordinary: </w:t>
      </w:r>
      <w:r>
        <w:rPr>
          <w:b/>
          <w:bCs/>
        </w:rPr>
        <w:t xml:space="preserve">UAE aims to move 50% of government services to agentic AI within two years</w:t>
      </w:r>
      <w:r>
        <w:t xml:space="preserve">; a new Federal AI &amp; Data Authority (June 2026); 27 government entities with Chief AI Officers; the Dubai AI Seal is now required to bid on government AI work.</w:t>
      </w:r>
    </w:p>
    <w:p>
      <w:pPr>
        <w:pStyle w:val="Heading3"/>
      </w:pPr>
      <w:r>
        <w:t xml:space="preserve">3.2 Adoption is high — but execution is the sellable gap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1F5C8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World-leading demand</w:t>
            </w:r>
          </w:p>
        </w:tc>
        <w:tc>
          <w:tcPr>
            <w:tcW w:type="dxa" w:w="468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1F5C8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…meets a wide execution gap</w:t>
            </w:r>
          </w:p>
        </w:tc>
      </w:tr>
      <w:tr>
        <w:tc>
          <w:tcPr>
            <w:tcW w:type="dxa" w:w="468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70.1% workforce AI adoption (UAE #1 globally)</w:t>
            </w:r>
          </w:p>
        </w:tc>
        <w:tc>
          <w:tcPr>
            <w:tcW w:type="dxa" w:w="468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Only ~31% of GCC orgs have scaled AI beyond pilots</w:t>
            </w:r>
          </w:p>
        </w:tc>
      </w:tr>
      <w:tr>
        <w:tc>
          <w:tcPr>
            <w:tcW w:type="dxa" w:w="468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84% of GCC orgs use AI in ≥1 function</w:t>
            </w:r>
          </w:p>
        </w:tc>
        <w:tc>
          <w:tcPr>
            <w:tcW w:type="dxa" w:w="468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Only ~11% are “value realizers” (≥5% earnings from AI)</w:t>
            </w:r>
          </w:p>
        </w:tc>
      </w:tr>
      <w:tr>
        <w:tc>
          <w:tcPr>
            <w:tcW w:type="dxa" w:w="468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38% of UAE CEOs have embedded AI in products</w:t>
            </w:r>
          </w:p>
        </w:tc>
        <w:tc>
          <w:tcPr>
            <w:tcW w:type="dxa" w:w="468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72%+ have paused or cancelled AI projects; data-readiness is the #1 blocker</w:t>
            </w:r>
          </w:p>
        </w:tc>
      </w:tr>
    </w:tbl>
    <w:p>
      <w:pPr>
        <w:spacing w:after="50"/>
      </w:pPr>
    </w:p>
    <w:p>
      <w:pPr>
        <w:spacing w:after="140" w:line="276"/>
      </w:pPr>
      <w:r>
        <w:t xml:space="preserve">SME reality: OECD finds 61% of SMEs use at least one AI tool but 76% remain “AI novices.” The government is actively scaffolding SME AI adoption (Dubai SME Learning Hub; a two-year Agentic AI Transformation Programme for the private sector). </w:t>
      </w:r>
      <w:r>
        <w:rPr>
          <w:i/>
          <w:iCs/>
        </w:rPr>
        <w:t xml:space="preserve">Translation: SMEs want AI, can't execute it alone, and the state is nudging them to buy. That is the ideal customer for a done-for-you-then-productized model.</w:t>
      </w:r>
    </w:p>
    <w:p>
      <w:pPr>
        <w:pStyle w:val="Heading3"/>
      </w:pPr>
      <w:r>
        <w:t xml:space="preserve">3.3 Where it is crowded vs. open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630"/>
        <w:gridCol w:w="3630"/>
      </w:tblGrid>
      <w:tr>
        <w:trPr>
          <w:tblHeader/>
        </w:trPr>
        <w:tc>
          <w:tcPr>
            <w:tcW w:type="dxa" w:w="210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0F2A4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363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0F2A4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Crowded / avoid</w:t>
            </w:r>
          </w:p>
        </w:tc>
        <w:tc>
          <w:tcPr>
            <w:tcW w:type="dxa" w:w="363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0F2A4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Open / defensible</w:t>
            </w:r>
          </w:p>
        </w:tc>
      </w:tr>
      <w:tr>
        <w:tc>
          <w:tcPr>
            <w:tcW w:type="dxa" w:w="210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Product type</w:t>
            </w:r>
          </w:p>
        </w:tc>
        <w:tc>
          <w:tcPr>
            <w:tcW w:type="dxa" w:w="363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Generic chatbots, marketing/content AI, thin ChatGPT “wrappers,” horizontal AI consulting</w:t>
            </w:r>
          </w:p>
        </w:tc>
        <w:tc>
          <w:tcPr>
            <w:tcW w:type="dxa" w:w="363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Narrow vertical AI tied to proprietary data + regulated workflows; data-residency-native tools</w:t>
            </w:r>
          </w:p>
        </w:tc>
      </w:tr>
      <w:tr>
        <w:tc>
          <w:tcPr>
            <w:tcW w:type="dxa" w:w="210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Buyer</w:t>
            </w:r>
          </w:p>
        </w:tc>
        <w:tc>
          <w:tcPr>
            <w:tcW w:type="dxa" w:w="363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Enterprises &amp; government (owned by G42/Core42/Presight and global SIs)</w:t>
            </w:r>
          </w:p>
        </w:tc>
        <w:tc>
          <w:tcPr>
            <w:tcW w:type="dxa" w:w="363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The SME long tail with a single decision-maker, reachable cold</w:t>
            </w:r>
          </w:p>
        </w:tc>
      </w:tr>
      <w:tr>
        <w:tc>
          <w:tcPr>
            <w:tcW w:type="dxa" w:w="210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Language</w:t>
            </w:r>
          </w:p>
        </w:tc>
        <w:tc>
          <w:tcPr>
            <w:tcW w:type="dxa" w:w="363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Building another Arabic LLM; generic “Arabic chatbot”</w:t>
            </w:r>
          </w:p>
        </w:tc>
        <w:tc>
          <w:tcPr>
            <w:tcW w:type="dxa" w:w="363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Application layer on commoditized models where Arabic is legally forced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Opportunity Scorecard</w:t>
      </w:r>
    </w:p>
    <w:p>
      <w:pPr>
        <w:spacing w:after="140" w:line="276"/>
      </w:pPr>
      <w:r>
        <w:t xml:space="preserve">We pressure-tested eight concrete wedges surfaced by the research against the five criteria that matter for THIS founder. Scores are 1 (weak) to 5 (strong); the final column is the weighted total out of 25.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1000"/>
        <w:gridCol w:w="1000"/>
        <w:gridCol w:w="1000"/>
        <w:gridCol w:w="1000"/>
        <w:gridCol w:w="1000"/>
        <w:gridCol w:w="1000"/>
      </w:tblGrid>
      <w:tr>
        <w:trPr>
          <w:tblHeader/>
        </w:trPr>
        <w:tc>
          <w:tcPr>
            <w:tcW w:type="dxa" w:w="336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0F2A4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Wedge</w:t>
            </w:r>
          </w:p>
        </w:tc>
        <w:tc>
          <w:tcPr>
            <w:tcW w:type="dxa" w:w="100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0F2A4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Pain /</w:t>
            </w:r>
          </w:p>
          <w:p>
            <w:pPr>
              <w:spacing w:after="0" w:line="25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willingness</w:t>
            </w:r>
          </w:p>
        </w:tc>
        <w:tc>
          <w:tcPr>
            <w:tcW w:type="dxa" w:w="100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0F2A4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Cold-</w:t>
            </w:r>
          </w:p>
          <w:p>
            <w:pPr>
              <w:spacing w:after="0" w:line="25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sellable</w:t>
            </w:r>
          </w:p>
        </w:tc>
        <w:tc>
          <w:tcPr>
            <w:tcW w:type="dxa" w:w="100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0F2A4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Solo</w:t>
            </w:r>
          </w:p>
          <w:p>
            <w:pPr>
              <w:spacing w:after="0" w:line="25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feasible</w:t>
            </w:r>
          </w:p>
        </w:tc>
        <w:tc>
          <w:tcPr>
            <w:tcW w:type="dxa" w:w="100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0F2A4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Low</w:t>
            </w:r>
          </w:p>
          <w:p>
            <w:pPr>
              <w:spacing w:after="0" w:line="25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competition</w:t>
            </w:r>
          </w:p>
        </w:tc>
        <w:tc>
          <w:tcPr>
            <w:tcW w:type="dxa" w:w="100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0F2A4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Scale</w:t>
            </w:r>
          </w:p>
          <w:p>
            <w:pPr>
              <w:spacing w:after="0" w:line="25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ceiling</w:t>
            </w:r>
          </w:p>
        </w:tc>
        <w:tc>
          <w:tcPr>
            <w:tcW w:type="dxa" w:w="100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C8A2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336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F6EFD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1. AML / goAML compliance for small DNFBPs</w:t>
            </w:r>
          </w:p>
        </w:tc>
        <w:tc>
          <w:tcPr>
            <w:tcW w:type="dxa" w:w="100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F6EFD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100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F6EFD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100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F6EFD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100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F6EFD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100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F6EFD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100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C8A2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23</w:t>
            </w:r>
          </w:p>
        </w:tc>
      </w:tr>
      <w:tr>
        <w:tc>
          <w:tcPr>
            <w:tcW w:type="dxa" w:w="336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2. Corporate Tax / VAT copilot for SMEs + accounting firms</w:t>
            </w:r>
          </w:p>
        </w:tc>
        <w:tc>
          <w:tcPr>
            <w:tcW w:type="dxa" w:w="100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100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100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100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100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100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EA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0F2A43"/>
                <w:sz w:val="19"/>
                <w:szCs w:val="19"/>
              </w:rPr>
              <w:t xml:space="preserve">21</w:t>
            </w:r>
          </w:p>
        </w:tc>
      </w:tr>
      <w:tr>
        <w:tc>
          <w:tcPr>
            <w:tcW w:type="dxa" w:w="336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3. Pre-submission medical-claim scrubber for clinics</w:t>
            </w:r>
          </w:p>
        </w:tc>
        <w:tc>
          <w:tcPr>
            <w:tcW w:type="dxa" w:w="100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100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100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100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100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100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EA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0F2A43"/>
                <w:sz w:val="19"/>
                <w:szCs w:val="19"/>
              </w:rPr>
              <w:t xml:space="preserve">20</w:t>
            </w:r>
          </w:p>
        </w:tc>
      </w:tr>
      <w:tr>
        <w:tc>
          <w:tcPr>
            <w:tcW w:type="dxa" w:w="336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4. Real-estate speed-to-lead + Trakheesi/AML layer</w:t>
            </w:r>
          </w:p>
        </w:tc>
        <w:tc>
          <w:tcPr>
            <w:tcW w:type="dxa" w:w="100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100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100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100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100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100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EA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0F2A43"/>
                <w:sz w:val="19"/>
                <w:szCs w:val="19"/>
              </w:rPr>
              <w:t xml:space="preserve">20</w:t>
            </w:r>
          </w:p>
        </w:tc>
      </w:tr>
      <w:tr>
        <w:tc>
          <w:tcPr>
            <w:tcW w:type="dxa" w:w="336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5. AI snagging-report engine (sold B2B to inspectors)</w:t>
            </w:r>
          </w:p>
        </w:tc>
        <w:tc>
          <w:tcPr>
            <w:tcW w:type="dxa" w:w="100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100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100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100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100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100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EA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0F2A43"/>
                <w:sz w:val="19"/>
                <w:szCs w:val="19"/>
              </w:rPr>
              <w:t xml:space="preserve">19</w:t>
            </w:r>
          </w:p>
        </w:tc>
      </w:tr>
      <w:tr>
        <w:tc>
          <w:tcPr>
            <w:tcW w:type="dxa" w:w="336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6. Customs declaration prep / HS-code validation</w:t>
            </w:r>
          </w:p>
        </w:tc>
        <w:tc>
          <w:tcPr>
            <w:tcW w:type="dxa" w:w="100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100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100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100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100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100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EA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0F2A43"/>
                <w:sz w:val="19"/>
                <w:szCs w:val="19"/>
              </w:rPr>
              <w:t xml:space="preserve">17</w:t>
            </w:r>
          </w:p>
        </w:tc>
      </w:tr>
      <w:tr>
        <w:tc>
          <w:tcPr>
            <w:tcW w:type="dxa" w:w="336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7. Holiday-home (DET) compliance ops assistant</w:t>
            </w:r>
          </w:p>
        </w:tc>
        <w:tc>
          <w:tcPr>
            <w:tcW w:type="dxa" w:w="100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100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100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100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100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100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EA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0F2A43"/>
                <w:sz w:val="19"/>
                <w:szCs w:val="19"/>
              </w:rPr>
              <w:t xml:space="preserve">17</w:t>
            </w:r>
          </w:p>
        </w:tc>
      </w:tr>
      <w:tr>
        <w:tc>
          <w:tcPr>
            <w:tcW w:type="dxa" w:w="336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8. Certified Arabic legal-translation workspace</w:t>
            </w:r>
          </w:p>
        </w:tc>
        <w:tc>
          <w:tcPr>
            <w:tcW w:type="dxa" w:w="100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100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100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100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100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100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EA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0F2A43"/>
                <w:sz w:val="19"/>
                <w:szCs w:val="19"/>
              </w:rPr>
              <w:t xml:space="preserve">16</w:t>
            </w:r>
          </w:p>
        </w:tc>
      </w:tr>
    </w:tbl>
    <w:p>
      <w:pPr>
        <w:spacing w:after="70"/>
      </w:pPr>
    </w:p>
    <w:p>
      <w:pPr>
        <w:spacing w:after="140" w:line="276"/>
      </w:pPr>
      <w:r>
        <w:rPr>
          <w:b/>
          <w:bCs/>
          <w:color w:val="0F2A43"/>
        </w:rPr>
        <w:t xml:space="preserve">Winner: Wedge 1 (AML for DNFBPs)</w:t>
      </w:r>
      <w:r>
        <w:t xml:space="preserve">. It is the only option that scores 4–5 on every axis. Wedge 2 (Corporate Tax/VAT) is the natural runner-up — and rather than compete with it, we </w:t>
      </w:r>
      <w:r>
        <w:rPr>
          <w:b/>
          <w:bCs/>
        </w:rPr>
        <w:t xml:space="preserve">absorb it as our first expansion module</w:t>
      </w:r>
      <w:r>
        <w:t xml:space="preserve">, because AML has a sharper fear-driven trigger and far less SME-level competition to fight through at entry.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F1F7" w:sz="2"/>
              <w:left w:val="single" w:color="1F5C8A" w:sz="24"/>
              <w:bottom w:val="single" w:color="EAF1F7" w:sz="2"/>
              <w:right w:val="single" w:color="EAF1F7" w:sz="2"/>
            </w:tcBorders>
            <w:shd w:fill="EAF1F7" w:val="clear"/>
            <w:tcMar>
              <w:top w:type="dxa" w:w="130"/>
              <w:left w:type="dxa" w:w="180"/>
              <w:bottom w:type="dxa" w:w="13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2A43"/>
                <w:sz w:val="21"/>
                <w:szCs w:val="21"/>
              </w:rPr>
              <w:t xml:space="preserve">Why not lead with tax (the runner-up)?</w:t>
            </w:r>
          </w:p>
          <w:p>
            <w:pPr>
              <w:spacing w:after="50" w:line="264"/>
            </w:pPr>
            <w:r>
              <w:rPr>
                <w:color w:val="222222"/>
                <w:sz w:val="20"/>
                <w:szCs w:val="20"/>
              </w:rPr>
              <w:t xml:space="preserve">Tax is bigger by raw count (710k+ registrants) but it is (a) seasonal rather than continuous, (b) already contested by bookkeeping incumbents (Zoho, Wafeq, Finanshels), and (c) anchored to a cheap human alternative (“my accountant files it for AED 249”). AML is continuous, fear-priced, and its SME segment is genuinely unserved. Lead with the sharper blade; sell tax to the same customer next.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The Recommendation: Amana</w:t>
      </w:r>
    </w:p>
    <w:p>
      <w:pPr>
        <w:spacing w:after="140" w:line="276"/>
      </w:pPr>
      <w:r>
        <w:rPr>
          <w:b/>
          <w:bCs/>
        </w:rPr>
        <w:t xml:space="preserve">Amana</w:t>
      </w:r>
      <w:r>
        <w:t xml:space="preserve"> (Arabic </w:t>
      </w:r>
      <w:r>
        <w:t xml:space="preserve">أمانة</w:t>
      </w:r>
      <w:r>
        <w:t xml:space="preserve"> — “trust, fiduciary duty, safekeeping”) is an AI compliance platform that keeps the UAE's most-watched small businesses audit-ready. We begin with one job done exceptionally well — AML — and expand into the compliance obligations that hit the same buyer.</w:t>
      </w:r>
    </w:p>
    <w:p>
      <w:pPr>
        <w:pStyle w:val="Heading3"/>
      </w:pPr>
      <w:r>
        <w:t xml:space="preserve">5.1 The layered vision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430"/>
        <w:gridCol w:w="4430"/>
      </w:tblGrid>
      <w:tr>
        <w:trPr>
          <w:tblHeader/>
        </w:trPr>
        <w:tc>
          <w:tcPr>
            <w:tcW w:type="dxa" w:w="150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1F5C8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343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1F5C8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it is</w:t>
            </w:r>
          </w:p>
        </w:tc>
        <w:tc>
          <w:tcPr>
            <w:tcW w:type="dxa" w:w="443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1F5C8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Why it matters</w:t>
            </w:r>
          </w:p>
        </w:tc>
      </w:tr>
      <w:tr>
        <w:tc>
          <w:tcPr>
            <w:tcW w:type="dxa" w:w="150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F6EFD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Wedge</w:t>
            </w:r>
          </w:p>
        </w:tc>
        <w:tc>
          <w:tcPr>
            <w:tcW w:type="dxa" w:w="343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F6EFD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AI AML toolkit for small DNFBPs: screening, CDD/UBO onboarding, transaction red-flags, and STR drafting into goAML XML</w:t>
            </w:r>
          </w:p>
        </w:tc>
        <w:tc>
          <w:tcPr>
            <w:tcW w:type="dxa" w:w="443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F6EFD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Sharpest pain, least competition, fastest cold revenue, richest proprietary data</w:t>
            </w:r>
          </w:p>
        </w:tc>
      </w:tr>
      <w:tr>
        <w:tc>
          <w:tcPr>
            <w:tcW w:type="dxa" w:w="150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Platform</w:t>
            </w:r>
          </w:p>
        </w:tc>
        <w:tc>
          <w:tcPr>
            <w:tcW w:type="dxa" w:w="343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Add Corporate Tax, VAT, UBO, ESR and e-invoicing modules — the “compliance OS” for a regulated SME</w:t>
            </w:r>
          </w:p>
        </w:tc>
        <w:tc>
          <w:tcPr>
            <w:tcW w:type="dxa" w:w="443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Land-and-expand; high net revenue retention; one login for the owner's whole compliance burden</w:t>
            </w:r>
          </w:p>
        </w:tc>
      </w:tr>
      <w:tr>
        <w:tc>
          <w:tcPr>
            <w:tcW w:type="dxa" w:w="150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Franchise</w:t>
            </w:r>
          </w:p>
        </w:tc>
        <w:tc>
          <w:tcPr>
            <w:tcW w:type="dxa" w:w="343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Expand across the GCC (Saudi's regime is larger and hardening), and up-market to fintechs, VASPs and banks</w:t>
            </w:r>
          </w:p>
        </w:tc>
        <w:tc>
          <w:tcPr>
            <w:tcW w:type="dxa" w:w="443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This is where a UAE-SME wedge becomes a billion-dollar RegTech franchise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5.2 What makes it defensible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Proprietary data moat: </w:t>
      </w:r>
      <w:r>
        <w:t xml:space="preserve">every STR we draft and every screening decision we resolve builds a UAE-specific corpus of typologies and false-positive patterns no competitor can buy.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Regulatory RAG kept current: </w:t>
      </w:r>
      <w:r>
        <w:t xml:space="preserve">a living knowledge base of UAE AML law, guidance and enforcement actions — expensive to build, expensive to maintain, and exactly what an SME cannot do alone.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Data residency as a moat, not just a checkbox: </w:t>
      </w:r>
      <w:r>
        <w:t xml:space="preserve">UAE PDPL makes default US-hosted LLM pipelines risky. Building UAE-resident from day one is both a sales advantage and a barrier to lazy foreign entrants.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Switching costs: </w:t>
      </w:r>
      <w:r>
        <w:t xml:space="preserve">compliance systems of record are sticky; once we hold a client's CDD files, audit trail and filing history, leaving is painful.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Distribution lock via firms: </w:t>
      </w:r>
      <w:r>
        <w:t xml:space="preserve">corporate-service providers and accounting firms that white-label Amana bring dozens of downstream SMEs each — a channel a competitor must re-win one firm at a time.</w:t>
      </w:r>
    </w:p>
    <w:p>
      <w:r>
        <w:br w:type="page"/>
      </w:r>
    </w:p>
    <w:p>
      <w:pPr>
        <w:pStyle w:val="Heading1"/>
      </w:pPr>
      <w:r>
        <w:t xml:space="preserve">6. Who We Sell To</w:t>
      </w:r>
    </w:p>
    <w:p>
      <w:pPr>
        <w:pStyle w:val="Heading3"/>
      </w:pPr>
      <w:r>
        <w:t xml:space="preserve">6.1 Beachhead: the first 100 customers</w:t>
      </w:r>
    </w:p>
    <w:p>
      <w:pPr>
        <w:spacing w:after="140" w:line="276"/>
      </w:pPr>
      <w:r>
        <w:t xml:space="preserve">We deliberately concentrate on the DNFBP sub-segments with the highest enforcement pressure, the densest enumerable populations, and a single owner-decision-maker.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rPr>
          <w:tblHeader/>
        </w:trPr>
        <w:tc>
          <w:tcPr>
            <w:tcW w:type="dxa" w:w="260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1F5C8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Segment</w:t>
            </w:r>
          </w:p>
        </w:tc>
        <w:tc>
          <w:tcPr>
            <w:tcW w:type="dxa" w:w="338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1F5C8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Why them first</w:t>
            </w:r>
          </w:p>
        </w:tc>
        <w:tc>
          <w:tcPr>
            <w:tcW w:type="dxa" w:w="338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1F5C8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How we reach them cold</w:t>
            </w:r>
          </w:p>
        </w:tc>
      </w:tr>
      <w:tr>
        <w:tc>
          <w:tcPr>
            <w:tcW w:type="dxa" w:w="260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Real-estate brokerages (3–30 agents)</w:t>
            </w:r>
          </w:p>
        </w:tc>
        <w:tc>
          <w:tcPr>
            <w:tcW w:type="dxa" w:w="338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Largest DNFBP population; under active enforcement; also feel a second pain (lead speed) we can cross-sell later</w:t>
            </w:r>
          </w:p>
        </w:tc>
        <w:tc>
          <w:tcPr>
            <w:tcW w:type="dxa" w:w="338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RERA/DLD broker registries, Property Finder/Bayut agency lists, LinkedIn</w:t>
            </w:r>
          </w:p>
        </w:tc>
      </w:tr>
      <w:tr>
        <w:tc>
          <w:tcPr>
            <w:tcW w:type="dxa" w:w="260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Gold &amp; precious-metals / stones dealers</w:t>
            </w:r>
          </w:p>
        </w:tc>
        <w:tc>
          <w:tcPr>
            <w:tcW w:type="dxa" w:w="338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Cash-heavy, highest-fined sector in H1 2025; acute fear; simple to demo value</w:t>
            </w:r>
          </w:p>
        </w:tc>
        <w:tc>
          <w:tcPr>
            <w:tcW w:type="dxa" w:w="338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DMCC member directory, Gold Souk / Deira clusters, trade associations</w:t>
            </w:r>
          </w:p>
        </w:tc>
      </w:tr>
      <w:tr>
        <w:tc>
          <w:tcPr>
            <w:tcW w:type="dxa" w:w="260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Corporate-service &amp; company-formation agents; small audit/accounting firms</w:t>
            </w:r>
          </w:p>
        </w:tc>
        <w:tc>
          <w:tcPr>
            <w:tcW w:type="dxa" w:w="338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Compliance-literate; feel every obligation at once; each is also a CHANNEL to many SMEs</w:t>
            </w:r>
          </w:p>
        </w:tc>
        <w:tc>
          <w:tcPr>
            <w:tcW w:type="dxa" w:w="338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Free-zone communities, LinkedIn, business-setup networks, GITEX</w:t>
            </w:r>
          </w:p>
        </w:tc>
      </w:tr>
    </w:tbl>
    <w:p>
      <w:pPr>
        <w:spacing w:after="50"/>
      </w:pPr>
    </w:p>
    <w:p>
      <w:pPr>
        <w:spacing w:after="140" w:line="276"/>
      </w:pPr>
      <w:r>
        <w:rPr>
          <w:b/>
          <w:bCs/>
        </w:rPr>
        <w:t xml:space="preserve">Ideal first customer profile: </w:t>
      </w:r>
      <w:r>
        <w:t xml:space="preserve">owner-run DNFBP, 3–50 staff, has already registered on goAML (so the obligation is real to them), no dedicated compliance team, and either recently inspected or spooked by a peer's fine. The buyer is the owner or the MLRO — one person, one WhatsApp number, one signature.</w:t>
      </w:r>
    </w:p>
    <w:p>
      <w:pPr>
        <w:pStyle w:val="Heading3"/>
      </w:pPr>
      <w:r>
        <w:t xml:space="preserve">6.2 Expansion: same customer, more modules; then new geographies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Expand within the account: add Corporate Tax filing, VAT validation, UBO and e-invoicing — each a new module sold to a customer who already trusts us with compliance.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Expand via firms: convert accounting / corporate-service firms into white-label channel partners managing many SME clients from one dashboard.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Expand geographically: Saudi Arabia (larger economy, hardening AML under SAMA/the National Anti-Commercial-Concealment drive), then wider GCC and high-enforcement emerging markets.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Expand up-market: the same screening/monitoring engine, hardened, sells to fintechs, VASPs, and eventually banks — where deal sizes are 10–100x.</w:t>
      </w:r>
    </w:p>
    <w:p>
      <w:r>
        <w:br w:type="page"/>
      </w:r>
    </w:p>
    <w:p>
      <w:pPr>
        <w:pStyle w:val="Heading1"/>
      </w:pPr>
      <w:r>
        <w:t xml:space="preserve">7. The Product (CTO View)</w:t>
      </w:r>
    </w:p>
    <w:p>
      <w:pPr>
        <w:pStyle w:val="Heading3"/>
      </w:pPr>
      <w:r>
        <w:t xml:space="preserve">7.1 The five core modules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360"/>
        <w:gridCol w:w="2500"/>
      </w:tblGrid>
      <w:tr>
        <w:trPr>
          <w:tblHeader/>
        </w:trPr>
        <w:tc>
          <w:tcPr>
            <w:tcW w:type="dxa" w:w="250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1F5C8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436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1F5C8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250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1F5C8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Status in market</w:t>
            </w:r>
          </w:p>
        </w:tc>
      </w:tr>
      <w:tr>
        <w:tc>
          <w:tcPr>
            <w:tcW w:type="dxa" w:w="250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F6EFD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STR / SAR drafter</w:t>
            </w:r>
          </w:p>
        </w:tc>
        <w:tc>
          <w:tcPr>
            <w:tcW w:type="dxa" w:w="436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F6EFD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Turns a described suspicion into a compliant narrative (indicators → transaction → why CDD is unsatisfactory) and outputs valid goAML XML</w:t>
            </w:r>
          </w:p>
        </w:tc>
        <w:tc>
          <w:tcPr>
            <w:tcW w:type="dxa" w:w="250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F6EFD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Genuinely uncovered — our killer feature</w:t>
            </w:r>
          </w:p>
        </w:tc>
      </w:tr>
      <w:tr>
        <w:tc>
          <w:tcPr>
            <w:tcW w:type="dxa" w:w="250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Screening engine</w:t>
            </w:r>
          </w:p>
        </w:tc>
        <w:tc>
          <w:tcPr>
            <w:tcW w:type="dxa" w:w="436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Name / PEP / sanctions + adverse-media screening with LLM entity-resolution and false-positive triage, full audit trail</w:t>
            </w:r>
          </w:p>
        </w:tc>
        <w:tc>
          <w:tcPr>
            <w:tcW w:type="dxa" w:w="250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Incumbents serve banks; SME tier open</w:t>
            </w:r>
          </w:p>
        </w:tc>
      </w:tr>
      <w:tr>
        <w:tc>
          <w:tcPr>
            <w:tcW w:type="dxa" w:w="250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CDD / UBO onboarding</w:t>
            </w:r>
          </w:p>
        </w:tc>
        <w:tc>
          <w:tcPr>
            <w:tcW w:type="dxa" w:w="436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OCR of passports, Emirates IDs and trade licences (Arabic + English); parses ownership structures; risk-rates the customer</w:t>
            </w:r>
          </w:p>
        </w:tc>
        <w:tc>
          <w:tcPr>
            <w:tcW w:type="dxa" w:w="250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Arabic-doc + UAE-template niche open</w:t>
            </w:r>
          </w:p>
        </w:tc>
      </w:tr>
      <w:tr>
        <w:tc>
          <w:tcPr>
            <w:tcW w:type="dxa" w:w="250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Transaction red-flags</w:t>
            </w:r>
          </w:p>
        </w:tc>
        <w:tc>
          <w:tcPr>
            <w:tcW w:type="dxa" w:w="436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Rule + ML flags for cash-heavy DNFBPs (structuring, threshold-hugging, high-risk geographies)</w:t>
            </w:r>
          </w:p>
        </w:tc>
        <w:tc>
          <w:tcPr>
            <w:tcW w:type="dxa" w:w="250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Thin at SME scale</w:t>
            </w:r>
          </w:p>
        </w:tc>
      </w:tr>
      <w:tr>
        <w:tc>
          <w:tcPr>
            <w:tcW w:type="dxa" w:w="250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Compliance cockpit</w:t>
            </w:r>
          </w:p>
        </w:tc>
        <w:tc>
          <w:tcPr>
            <w:tcW w:type="dxa" w:w="436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Dashboard, deadline reminders, immutable audit log, inspection-ready export pack</w:t>
            </w:r>
          </w:p>
        </w:tc>
        <w:tc>
          <w:tcPr>
            <w:tcW w:type="dxa" w:w="250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The system-of-record that creates lock-in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7.2 Architecture principles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t xml:space="preserve">Human-in-the-loop by design. Amana drafts and recommends; the licensed MLRO reviews and files. This keeps us on the right side of liability and regulation — we are decision-support, not the accountable person.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t xml:space="preserve">UAE data residency from day one. Deploy LLM inference and storage in-region (Azure UAE / AWS Bahrain, sovereign compute later). It is a sales advantage and a PDPL necessity.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t xml:space="preserve">File-generation before deep integration. v1 outputs valid goAML XML the user uploads themselves — we prove ROI without waiting on accreditation. Direct API integrations come once we have reference customers.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t xml:space="preserve">RAG over a living regulatory corpus. Retrieval-grounded generation against current UAE AML law, guidance and enforcement actions — accuracy and citeability, not free-form generation.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t xml:space="preserve">Model-agnostic core. Commercial LLMs behind an abstraction so we can swap to sovereign/Arabic models (Jais, Falcon) as data-residency and cost dictate.</w:t>
      </w:r>
    </w:p>
    <w:p>
      <w:pPr>
        <w:pStyle w:val="Heading3"/>
      </w:pPr>
      <w:r>
        <w:t xml:space="preserve">7.3 Suggested stack</w:t>
      </w:r>
    </w:p>
    <w:p>
      <w:pPr>
        <w:spacing w:after="140" w:line="276"/>
      </w:pPr>
      <w:r>
        <w:rPr>
          <w:b/>
          <w:bCs/>
        </w:rPr>
        <w:t xml:space="preserve">Frontend: </w:t>
      </w:r>
      <w:r>
        <w:t xml:space="preserve">Next.js / React + Tailwind. </w:t>
      </w:r>
      <w:r>
        <w:rPr>
          <w:b/>
          <w:bCs/>
        </w:rPr>
        <w:t xml:space="preserve">Backend: </w:t>
      </w:r>
      <w:r>
        <w:t xml:space="preserve">Python (FastAPI) for the AI/compliance services, Postgres for the system-of-record, object storage for documents. </w:t>
      </w:r>
      <w:r>
        <w:rPr>
          <w:b/>
          <w:bCs/>
        </w:rPr>
        <w:t xml:space="preserve">AI: </w:t>
      </w:r>
      <w:r>
        <w:t xml:space="preserve">in-region LLM APIs behind an abstraction layer; RAG via a vector store; a document-AI pipeline for Arabic+English OCR; a rules engine for deterministic red-flags. </w:t>
      </w:r>
      <w:r>
        <w:rPr>
          <w:b/>
          <w:bCs/>
        </w:rPr>
        <w:t xml:space="preserve">Ops: </w:t>
      </w:r>
      <w:r>
        <w:t xml:space="preserve">in-region cloud, encryption at rest/in transit, full audit logging, SOC 2 / ISO 27001 on the roadmap (table stakes for compliance buyers).</w:t>
      </w:r>
    </w:p>
    <w:p>
      <w:pPr>
        <w:pStyle w:val="Heading3"/>
      </w:pPr>
      <w:r>
        <w:t xml:space="preserve">7.4 Build order (what to code first)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Weeks 1–4: deliver the service manually with off-the-shelf LLMs + spreadsheets for the first 2–3 paying clients. Learn the real workflow and collect real documents (with consent).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Weeks 5–10: build the STR drafter → goAML XML (highest pain, most defensible) and the screening engine. These two carry the demo.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Weeks 11–18: CDD/UBO onboarding (OCR) and the compliance cockpit. This is the point of self-serve.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Weeks 19–26: harden, add audit-export, onboard first self-serve customers, sign first white-label firm.</w:t>
      </w:r>
    </w:p>
    <w:p>
      <w:r>
        <w:br w:type="page"/>
      </w:r>
    </w:p>
    <w:p>
      <w:pPr>
        <w:pStyle w:val="Heading1"/>
      </w:pPr>
      <w:r>
        <w:t xml:space="preserve">8. Business Model &amp; Pricing</w:t>
      </w:r>
    </w:p>
    <w:p>
      <w:pPr>
        <w:pStyle w:val="Heading3"/>
      </w:pPr>
      <w:r>
        <w:t xml:space="preserve">8.1 Two revenue engines, sequenced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1F5C8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348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1F5C8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Engine 1 — Done-for-you service</w:t>
            </w:r>
          </w:p>
        </w:tc>
        <w:tc>
          <w:tcPr>
            <w:tcW w:type="dxa" w:w="348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1F5C8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Engine 2 — Self-serve SaaS</w:t>
            </w:r>
          </w:p>
        </w:tc>
      </w:tr>
      <w:tr>
        <w:tc>
          <w:tcPr>
            <w:tcW w:type="dxa" w:w="240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Role</w:t>
            </w:r>
          </w:p>
        </w:tc>
        <w:tc>
          <w:tcPr>
            <w:tcW w:type="dxa" w:w="348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Cash now + data + credibility (months 0–9)</w:t>
            </w:r>
          </w:p>
        </w:tc>
        <w:tc>
          <w:tcPr>
            <w:tcW w:type="dxa" w:w="348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The scalable machine (month 6 onward)</w:t>
            </w:r>
          </w:p>
        </w:tc>
      </w:tr>
      <w:tr>
        <w:tc>
          <w:tcPr>
            <w:tcW w:type="dxa" w:w="240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Offer</w:t>
            </w:r>
          </w:p>
        </w:tc>
        <w:tc>
          <w:tcPr>
            <w:tcW w:type="dxa" w:w="348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AI-augmented outsourced MLRO: program setup, screening, CDD, STR filing</w:t>
            </w:r>
          </w:p>
        </w:tc>
        <w:tc>
          <w:tcPr>
            <w:tcW w:type="dxa" w:w="348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Software subscription; customer's own MLRO operates it</w:t>
            </w:r>
          </w:p>
        </w:tc>
      </w:tr>
      <w:tr>
        <w:tc>
          <w:tcPr>
            <w:tcW w:type="dxa" w:w="240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Pricing</w:t>
            </w:r>
          </w:p>
        </w:tc>
        <w:tc>
          <w:tcPr>
            <w:tcW w:type="dxa" w:w="348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Setup AED 5,000–15,000 + retainer AED 2,000–6,000 / month</w:t>
            </w:r>
          </w:p>
        </w:tc>
        <w:tc>
          <w:tcPr>
            <w:tcW w:type="dxa" w:w="348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Tiered subscription (below) + usage credits</w:t>
            </w:r>
          </w:p>
        </w:tc>
      </w:tr>
      <w:tr>
        <w:tc>
          <w:tcPr>
            <w:tcW w:type="dxa" w:w="240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Gross margin</w:t>
            </w:r>
          </w:p>
        </w:tc>
        <w:tc>
          <w:tcPr>
            <w:tcW w:type="dxa" w:w="348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~55–70% (your time is the cost)</w:t>
            </w:r>
          </w:p>
        </w:tc>
        <w:tc>
          <w:tcPr>
            <w:tcW w:type="dxa" w:w="348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~80–88% (LLM + infra only)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8.2 SaaS pricing 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5960"/>
      </w:tblGrid>
      <w:tr>
        <w:trPr>
          <w:tblHeader/>
        </w:trPr>
        <w:tc>
          <w:tcPr>
            <w:tcW w:type="dxa" w:w="190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0F2A4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Tier</w:t>
            </w:r>
          </w:p>
        </w:tc>
        <w:tc>
          <w:tcPr>
            <w:tcW w:type="dxa" w:w="150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0F2A4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Price / mo</w:t>
            </w:r>
          </w:p>
        </w:tc>
        <w:tc>
          <w:tcPr>
            <w:tcW w:type="dxa" w:w="596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0F2A4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For whom &amp; what's included</w:t>
            </w:r>
          </w:p>
        </w:tc>
      </w:tr>
      <w:tr>
        <w:tc>
          <w:tcPr>
            <w:tcW w:type="dxa" w:w="190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Starter</w:t>
            </w:r>
          </w:p>
        </w:tc>
        <w:tc>
          <w:tcPr>
            <w:tcW w:type="dxa" w:w="150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AED 499</w:t>
            </w:r>
          </w:p>
        </w:tc>
        <w:tc>
          <w:tcPr>
            <w:tcW w:type="dxa" w:w="596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Solo / micro DNFBP: screening + STR drafter + basic CDD, capped monthly volume</w:t>
            </w:r>
          </w:p>
        </w:tc>
      </w:tr>
      <w:tr>
        <w:tc>
          <w:tcPr>
            <w:tcW w:type="dxa" w:w="190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Growth</w:t>
            </w:r>
          </w:p>
        </w:tc>
        <w:tc>
          <w:tcPr>
            <w:tcW w:type="dxa" w:w="150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AED 1,500</w:t>
            </w:r>
          </w:p>
        </w:tc>
        <w:tc>
          <w:tcPr>
            <w:tcW w:type="dxa" w:w="596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Active brokerage / dealer: higher volume, transaction red-flags, UBO, audit-export</w:t>
            </w:r>
          </w:p>
        </w:tc>
      </w:tr>
      <w:tr>
        <w:tc>
          <w:tcPr>
            <w:tcW w:type="dxa" w:w="190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Firm / White-label</w:t>
            </w:r>
          </w:p>
        </w:tc>
        <w:tc>
          <w:tcPr>
            <w:tcW w:type="dxa" w:w="150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AED 5,000+</w:t>
            </w:r>
          </w:p>
        </w:tc>
        <w:tc>
          <w:tcPr>
            <w:tcW w:type="dxa" w:w="596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Accounting / corporate-service firm: multi-client dashboard, branding, priority support</w:t>
            </w:r>
          </w:p>
        </w:tc>
      </w:tr>
      <w:tr>
        <w:tc>
          <w:tcPr>
            <w:tcW w:type="dxa" w:w="190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Overages</w:t>
            </w:r>
          </w:p>
        </w:tc>
        <w:tc>
          <w:tcPr>
            <w:tcW w:type="dxa" w:w="150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per unit</w:t>
            </w:r>
          </w:p>
        </w:tc>
        <w:tc>
          <w:tcPr>
            <w:tcW w:type="dxa" w:w="596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Per-screening and per-STR credits above plan limits — usage-based upside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8.3 Unit economics (illustrative, Growth tier)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3760"/>
      </w:tblGrid>
      <w:tr>
        <w:trPr>
          <w:tblHeader/>
        </w:trPr>
        <w:tc>
          <w:tcPr>
            <w:tcW w:type="dxa" w:w="560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1F5C8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376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1F5C8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Assumption / value</w:t>
            </w:r>
          </w:p>
        </w:tc>
      </w:tr>
      <w:tr>
        <w:tc>
          <w:tcPr>
            <w:tcW w:type="dxa" w:w="560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Average revenue per account (Growth)</w:t>
            </w:r>
          </w:p>
        </w:tc>
        <w:tc>
          <w:tcPr>
            <w:tcW w:type="dxa" w:w="376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AED 1,500/mo = AED 18,000 ARR</w:t>
            </w:r>
          </w:p>
        </w:tc>
      </w:tr>
      <w:tr>
        <w:tc>
          <w:tcPr>
            <w:tcW w:type="dxa" w:w="560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Gross margin</w:t>
            </w:r>
          </w:p>
        </w:tc>
        <w:tc>
          <w:tcPr>
            <w:tcW w:type="dxa" w:w="376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~85%</w:t>
            </w:r>
          </w:p>
        </w:tc>
      </w:tr>
      <w:tr>
        <w:tc>
          <w:tcPr>
            <w:tcW w:type="dxa" w:w="560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Blended CAC (founder-led cold outreach + content)</w:t>
            </w:r>
          </w:p>
        </w:tc>
        <w:tc>
          <w:tcPr>
            <w:tcW w:type="dxa" w:w="376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AED 1,500–3,000 (mostly time, low cash)</w:t>
            </w:r>
          </w:p>
        </w:tc>
      </w:tr>
      <w:tr>
        <w:tc>
          <w:tcPr>
            <w:tcW w:type="dxa" w:w="560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CAC payback</w:t>
            </w:r>
          </w:p>
        </w:tc>
        <w:tc>
          <w:tcPr>
            <w:tcW w:type="dxa" w:w="376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&lt; 3 months</w:t>
            </w:r>
          </w:p>
        </w:tc>
      </w:tr>
      <w:tr>
        <w:tc>
          <w:tcPr>
            <w:tcW w:type="dxa" w:w="560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Target logo churn (sticky compliance)</w:t>
            </w:r>
          </w:p>
        </w:tc>
        <w:tc>
          <w:tcPr>
            <w:tcW w:type="dxa" w:w="376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&lt; 2% / month, improving with modules</w:t>
            </w:r>
          </w:p>
        </w:tc>
      </w:tr>
      <w:tr>
        <w:tc>
          <w:tcPr>
            <w:tcW w:type="dxa" w:w="560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LTV:CAC (steady state)</w:t>
            </w:r>
          </w:p>
        </w:tc>
        <w:tc>
          <w:tcPr>
            <w:tcW w:type="dxa" w:w="376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&gt; 8:1 as modules lift ARPA and NRR</w:t>
            </w:r>
          </w:p>
        </w:tc>
      </w:tr>
    </w:tbl>
    <w:p>
      <w:pPr>
        <w:spacing w:after="50"/>
      </w:pPr>
    </w:p>
    <w:p>
      <w:pPr>
        <w:spacing w:after="140" w:line="276"/>
      </w:pPr>
      <w:r>
        <w:rPr>
          <w:b/>
          <w:bCs/>
        </w:rPr>
        <w:t xml:space="preserve">The math that matters: </w:t>
      </w:r>
      <w:r>
        <w:t xml:space="preserve">the UAE has ~15,000 DNFBPs. Capturing 1,000 of them at an AED 18,000 average = AED 18M (~US$4.9M) ARR from the beachhead alone — before a single new module, geography, or up-market customer. That is a healthy, fundable company from the wedge, and only the first rung of the ladder.</w:t>
      </w:r>
    </w:p>
    <w:p>
      <w:r>
        <w:br w:type="page"/>
      </w:r>
    </w:p>
    <w:p>
      <w:pPr>
        <w:pStyle w:val="Heading1"/>
      </w:pPr>
      <w:r>
        <w:t xml:space="preserve">9. Go-To-Market Without a Network</w:t>
      </w:r>
    </w:p>
    <w:p>
      <w:pPr>
        <w:spacing w:after="140" w:line="276"/>
      </w:pPr>
      <w:r>
        <w:t xml:space="preserve">The whole point of choosing this wedge is that a cold founder can execute the GTM. Here is the concrete playbook.</w:t>
      </w:r>
    </w:p>
    <w:p>
      <w:pPr>
        <w:pStyle w:val="Heading3"/>
      </w:pPr>
      <w:r>
        <w:t xml:space="preserve">9.1 The cold-outreach engine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t xml:space="preserve">Build the buyer list. Compile DNFBPs from RERA/DLD (brokerages), DMCC (gold/DPMS), and DED/free-zone registries; enrich with LinkedIn Sales Navigator (filter: MLRO, Compliance Officer, Managing Partner). Target 2,000+ named accounts.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t xml:space="preserve">Lead with fear + a free gap-check. Outreach hook: “The Ministry of Economy fined DNFBPs over AED 42M in H1 2025. Is your goAML/STR process audit-ready? Free 15-minute compliance gap-check.” The free AML gap-assessment (or mock inspection) is the top-of-funnel magnet.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t xml:space="preserve">Multi-channel cadence. LinkedIn connect → value message → move to WhatsApp (the UAE B2B norm) → book the gap-check call → convert to service or SaaS. WhatsApp Business number is table stakes.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t xml:space="preserve">Publish authority weekly. Short LinkedIn posts decoding each new enforcement action and rule change; a free “goAML STR template” and “DNFBP inspection checklist” as lead magnets. In compliance, being the clearest explainer wins trust faster than ads.</w:t>
      </w:r>
    </w:p>
    <w:p>
      <w:pPr>
        <w:pStyle w:val="Heading3"/>
      </w:pPr>
      <w:r>
        <w:t xml:space="preserve">9.2 Channel &amp; credibility multipliers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Firm partnerships: </w:t>
      </w:r>
      <w:r>
        <w:t xml:space="preserve">corporate-service providers and small audit firms onboard new companies constantly and must run AML for clients — white-label / revenue-share turns each into a reseller with a book of SMEs.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Borrow credibility early: </w:t>
      </w:r>
      <w:r>
        <w:t xml:space="preserve">bring on a fractional advisor who is an ex-regulator or veteran MLRO. For a compliance product from an unknown founder, this is the single highest-leverage trust signal.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Get the Dubai AI Seal + a security posture: </w:t>
      </w:r>
      <w:r>
        <w:t xml:space="preserve">the Seal unlocks government-adjacent credibility; an ISO 27001 / SOC 2 roadmap and UAE data residency answer the first question every compliance buyer asks.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Show up where they gather: </w:t>
      </w:r>
      <w:r>
        <w:t xml:space="preserve">free-zone communities, Dubai SME, compliance meetups, and GITEX / Expand North Star (Dec 2026) for concentrated buyer density.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F1F7" w:sz="2"/>
              <w:left w:val="single" w:color="1F5C8A" w:sz="24"/>
              <w:bottom w:val="single" w:color="EAF1F7" w:sz="2"/>
              <w:right w:val="single" w:color="EAF1F7" w:sz="2"/>
            </w:tcBorders>
            <w:shd w:fill="EAF1F7" w:val="clear"/>
            <w:tcMar>
              <w:top w:type="dxa" w:w="130"/>
              <w:left w:type="dxa" w:w="180"/>
              <w:bottom w:type="dxa" w:w="13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2A43"/>
                <w:sz w:val="21"/>
                <w:szCs w:val="21"/>
              </w:rPr>
              <w:t xml:space="preserve">Founder's unfair advantage here</w:t>
            </w:r>
          </w:p>
          <w:p>
            <w:pPr>
              <w:spacing w:after="50" w:line="264"/>
            </w:pPr>
            <w:r>
              <w:rPr>
                <w:color w:val="222222"/>
                <w:sz w:val="20"/>
                <w:szCs w:val="20"/>
              </w:rPr>
              <w:t xml:space="preserve">You do not need a network to sell fear-priced compliance to a named list of businesses that just watched a peer get fined. You need a list, a sharp message, a free gap-check, and one credible advisor. All four are inside your AED 100k–500k budget.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10. The 12-Month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00"/>
        <w:gridCol w:w="3260"/>
        <w:gridCol w:w="2000"/>
      </w:tblGrid>
      <w:tr>
        <w:trPr>
          <w:tblHeader/>
        </w:trPr>
        <w:tc>
          <w:tcPr>
            <w:tcW w:type="dxa" w:w="150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0F2A4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260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0F2A4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Focus</w:t>
            </w:r>
          </w:p>
        </w:tc>
        <w:tc>
          <w:tcPr>
            <w:tcW w:type="dxa" w:w="326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0F2A4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Key actions</w:t>
            </w:r>
          </w:p>
        </w:tc>
        <w:tc>
          <w:tcPr>
            <w:tcW w:type="dxa" w:w="200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0F2A4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Target exit</w:t>
            </w:r>
          </w:p>
        </w:tc>
      </w:tr>
      <w:tr>
        <w:tc>
          <w:tcPr>
            <w:tcW w:type="dxa" w:w="150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F6EFD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Months</w:t>
            </w:r>
          </w:p>
          <w:p>
            <w:pPr>
              <w:spacing w:after="0" w:line="250"/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0–3</w:t>
            </w:r>
          </w:p>
          <w:p>
            <w:pPr>
              <w:spacing w:after="0" w:line="250"/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Prove</w:t>
            </w:r>
          </w:p>
        </w:tc>
        <w:tc>
          <w:tcPr>
            <w:tcW w:type="dxa" w:w="260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F6EFD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Incorporate; land first paying service clients</w:t>
            </w:r>
          </w:p>
        </w:tc>
        <w:tc>
          <w:tcPr>
            <w:tcW w:type="dxa" w:w="326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F6EFD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Set up license + banking; build buyer list; free gap-checks; deliver AML service manually; recruit advisor</w:t>
            </w:r>
          </w:p>
        </w:tc>
        <w:tc>
          <w:tcPr>
            <w:tcW w:type="dxa" w:w="200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F6EFD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3–5 paying clients; AED 30–60k booked; workflow understood</w:t>
            </w:r>
          </w:p>
        </w:tc>
      </w:tr>
      <w:tr>
        <w:tc>
          <w:tcPr>
            <w:tcW w:type="dxa" w:w="150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Months</w:t>
            </w:r>
          </w:p>
          <w:p>
            <w:pPr>
              <w:spacing w:after="0" w:line="250"/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3–6</w:t>
            </w:r>
          </w:p>
          <w:p>
            <w:pPr>
              <w:spacing w:after="0" w:line="250"/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Build</w:t>
            </w:r>
          </w:p>
        </w:tc>
        <w:tc>
          <w:tcPr>
            <w:tcW w:type="dxa" w:w="260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Ship the STR drafter + screening MVP</w:t>
            </w:r>
          </w:p>
        </w:tc>
        <w:tc>
          <w:tcPr>
            <w:tcW w:type="dxa" w:w="326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Productize the two highest-pain modules; use service clients as design partners; start weekly content</w:t>
            </w:r>
          </w:p>
        </w:tc>
        <w:tc>
          <w:tcPr>
            <w:tcW w:type="dxa" w:w="200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Working MVP; 10+ clients; first case studies</w:t>
            </w:r>
          </w:p>
        </w:tc>
      </w:tr>
      <w:tr>
        <w:tc>
          <w:tcPr>
            <w:tcW w:type="dxa" w:w="150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Months</w:t>
            </w:r>
          </w:p>
          <w:p>
            <w:pPr>
              <w:spacing w:after="0" w:line="250"/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6–9</w:t>
            </w:r>
          </w:p>
          <w:p>
            <w:pPr>
              <w:spacing w:after="0" w:line="250"/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Convert</w:t>
            </w:r>
          </w:p>
        </w:tc>
        <w:tc>
          <w:tcPr>
            <w:tcW w:type="dxa" w:w="260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Launch self-serve SaaS; sign first firm</w:t>
            </w:r>
          </w:p>
        </w:tc>
        <w:tc>
          <w:tcPr>
            <w:tcW w:type="dxa" w:w="326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Add CDD/UBO + cockpit; onboard self-serve; sign first white-label firm; ISO 27001 kickoff</w:t>
            </w:r>
          </w:p>
        </w:tc>
        <w:tc>
          <w:tcPr>
            <w:tcW w:type="dxa" w:w="200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20–30 paying accounts; AED 1M+ ARR run-rate</w:t>
            </w:r>
          </w:p>
        </w:tc>
      </w:tr>
      <w:tr>
        <w:tc>
          <w:tcPr>
            <w:tcW w:type="dxa" w:w="150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Months</w:t>
            </w:r>
          </w:p>
          <w:p>
            <w:pPr>
              <w:spacing w:after="0" w:line="250"/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9–12</w:t>
            </w:r>
          </w:p>
          <w:p>
            <w:pPr>
              <w:spacing w:after="0" w:line="250"/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Scale</w:t>
            </w:r>
          </w:p>
        </w:tc>
        <w:tc>
          <w:tcPr>
            <w:tcW w:type="dxa" w:w="260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Repeatable sales + module #2 (Tax/VAT)</w:t>
            </w:r>
          </w:p>
        </w:tc>
        <w:tc>
          <w:tcPr>
            <w:tcW w:type="dxa" w:w="326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Systematize outreach; launch Corporate Tax/VAT module; prep pre-seed raise or stay bootstrapped</w:t>
            </w:r>
          </w:p>
        </w:tc>
        <w:tc>
          <w:tcPr>
            <w:tcW w:type="dxa" w:w="200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40–60 accounts; fundable metrics or profitable</w:t>
            </w:r>
          </w:p>
        </w:tc>
      </w:tr>
    </w:tbl>
    <w:p>
      <w:pPr>
        <w:spacing w:after="60"/>
      </w:pPr>
    </w:p>
    <w:p>
      <w:pPr>
        <w:spacing w:after="140" w:line="276"/>
      </w:pPr>
      <w:r>
        <w:rPr>
          <w:b/>
          <w:bCs/>
        </w:rPr>
        <w:t xml:space="preserve">Fork at month 12: </w:t>
      </w:r>
      <w:r>
        <w:t xml:space="preserve">with &lt; 2% monthly churn, CAC payback &lt; 3 months, and a second module live, you can either raise a pre-seed (COTU, Global Ventures, Shorooq; or the Presight–Shorooq US$100M AI fund) to accelerate GCC expansion, or stay bootstrapped and profitable and expand more slowly. Both are good outcomes — optionality is the goal.</w:t>
      </w:r>
    </w:p>
    <w:p>
      <w:r>
        <w:br w:type="page"/>
      </w:r>
    </w:p>
    <w:p>
      <w:pPr>
        <w:pStyle w:val="Heading1"/>
      </w:pPr>
      <w:r>
        <w:t xml:space="preserve">11. The Path to a Billion-Dollar Company</w:t>
      </w:r>
    </w:p>
    <w:p>
      <w:pPr>
        <w:spacing w:after="140" w:line="276"/>
      </w:pPr>
      <w:r>
        <w:rPr>
          <w:b/>
          <w:bCs/>
        </w:rPr>
        <w:t xml:space="preserve">Straight talk, cofounder to cofounder: </w:t>
      </w:r>
      <w:r>
        <w:t xml:space="preserve">a UAE-only AML tool for small DNFBPs is not a billion-dollar business by itself — its ceiling is roughly US$50–100M ARR. A billion-dollar outcome requires deliberately climbing four rungs. The good news: RegTech is a proven category with billion-dollar comparables (ComplyAdvantage, Sumsub, Sardine, Hawk AI), so the ceiling is real if we execute the climb.</w:t>
      </w:r>
    </w:p>
    <w:p>
      <w:pPr>
        <w:pStyle w:val="Heading3"/>
      </w:pPr>
      <w:r>
        <w:t xml:space="preserve">11.1 The four rungs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980"/>
        <w:gridCol w:w="3980"/>
      </w:tblGrid>
      <w:tr>
        <w:trPr>
          <w:tblHeader/>
        </w:trPr>
        <w:tc>
          <w:tcPr>
            <w:tcW w:type="dxa" w:w="140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1F5C8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Rung</w:t>
            </w:r>
          </w:p>
        </w:tc>
        <w:tc>
          <w:tcPr>
            <w:tcW w:type="dxa" w:w="398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1F5C8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Move</w:t>
            </w:r>
          </w:p>
        </w:tc>
        <w:tc>
          <w:tcPr>
            <w:tcW w:type="dxa" w:w="398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1F5C8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Unlocks</w:t>
            </w:r>
          </w:p>
        </w:tc>
      </w:tr>
      <w:tr>
        <w:tc>
          <w:tcPr>
            <w:tcW w:type="dxa" w:w="140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1. Wedge</w:t>
            </w:r>
          </w:p>
        </w:tc>
        <w:tc>
          <w:tcPr>
            <w:tcW w:type="dxa" w:w="398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Own AML for UAE DNFBPs</w:t>
            </w:r>
          </w:p>
        </w:tc>
        <w:tc>
          <w:tcPr>
            <w:tcW w:type="dxa" w:w="398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~US$5M ARR ceiling; proprietary data + reference logos</w:t>
            </w:r>
          </w:p>
        </w:tc>
      </w:tr>
      <w:tr>
        <w:tc>
          <w:tcPr>
            <w:tcW w:type="dxa" w:w="140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2. Platform</w:t>
            </w:r>
          </w:p>
        </w:tc>
        <w:tc>
          <w:tcPr>
            <w:tcW w:type="dxa" w:w="398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Add Tax, VAT, UBO, e-invoicing modules to the same buyers</w:t>
            </w:r>
          </w:p>
        </w:tc>
        <w:tc>
          <w:tcPr>
            <w:tcW w:type="dxa" w:w="398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3–4x ARPA and high NRR; ~US$20–40M ARR</w:t>
            </w:r>
          </w:p>
        </w:tc>
      </w:tr>
      <w:tr>
        <w:tc>
          <w:tcPr>
            <w:tcW w:type="dxa" w:w="140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3. Franchise</w:t>
            </w:r>
          </w:p>
        </w:tc>
        <w:tc>
          <w:tcPr>
            <w:tcW w:type="dxa" w:w="398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Replicate across Saudi + GCC + high-enforcement emerging markets</w:t>
            </w:r>
          </w:p>
        </w:tc>
        <w:tc>
          <w:tcPr>
            <w:tcW w:type="dxa" w:w="398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5–10x the TAM; ~US$100M+ ARR</w:t>
            </w:r>
          </w:p>
        </w:tc>
      </w:tr>
      <w:tr>
        <w:tc>
          <w:tcPr>
            <w:tcW w:type="dxa" w:w="140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4. Up-market</w:t>
            </w:r>
          </w:p>
        </w:tc>
        <w:tc>
          <w:tcPr>
            <w:tcW w:type="dxa" w:w="398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Sell the hardened engine to fintechs, VASPs, banks</w:t>
            </w:r>
          </w:p>
        </w:tc>
        <w:tc>
          <w:tcPr>
            <w:tcW w:type="dxa" w:w="398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10–100x deal sizes; the path to US$1B valuation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11.2 Illustrative ARR trajectory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00"/>
        <w:gridCol w:w="2630"/>
        <w:gridCol w:w="2630"/>
      </w:tblGrid>
      <w:tr>
        <w:trPr>
          <w:tblHeader/>
        </w:trPr>
        <w:tc>
          <w:tcPr>
            <w:tcW w:type="dxa" w:w="150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0F2A4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Year</w:t>
            </w:r>
          </w:p>
        </w:tc>
        <w:tc>
          <w:tcPr>
            <w:tcW w:type="dxa" w:w="260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0F2A4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Focus</w:t>
            </w:r>
          </w:p>
        </w:tc>
        <w:tc>
          <w:tcPr>
            <w:tcW w:type="dxa" w:w="263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0F2A4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Accounts (approx.)</w:t>
            </w:r>
          </w:p>
        </w:tc>
        <w:tc>
          <w:tcPr>
            <w:tcW w:type="dxa" w:w="263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0F2A4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ARR (approx.)</w:t>
            </w:r>
          </w:p>
        </w:tc>
      </w:tr>
      <w:tr>
        <w:tc>
          <w:tcPr>
            <w:tcW w:type="dxa" w:w="150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260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Service + SaaS launch</w:t>
            </w:r>
          </w:p>
        </w:tc>
        <w:tc>
          <w:tcPr>
            <w:tcW w:type="dxa" w:w="263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40–60</w:t>
            </w:r>
          </w:p>
        </w:tc>
        <w:tc>
          <w:tcPr>
            <w:tcW w:type="dxa" w:w="263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AED 1–1.5M (~US$0.3–0.4M)</w:t>
            </w:r>
          </w:p>
        </w:tc>
      </w:tr>
      <w:tr>
        <w:tc>
          <w:tcPr>
            <w:tcW w:type="dxa" w:w="150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260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SaaS scale + firms + module #2</w:t>
            </w:r>
          </w:p>
        </w:tc>
        <w:tc>
          <w:tcPr>
            <w:tcW w:type="dxa" w:w="263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200–300</w:t>
            </w:r>
          </w:p>
        </w:tc>
        <w:tc>
          <w:tcPr>
            <w:tcW w:type="dxa" w:w="263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AED 5–7M (~US$1.4–1.9M)</w:t>
            </w:r>
          </w:p>
        </w:tc>
      </w:tr>
      <w:tr>
        <w:tc>
          <w:tcPr>
            <w:tcW w:type="dxa" w:w="150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260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Multi-module + first GCC market</w:t>
            </w:r>
          </w:p>
        </w:tc>
        <w:tc>
          <w:tcPr>
            <w:tcW w:type="dxa" w:w="263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~1,000</w:t>
            </w:r>
          </w:p>
        </w:tc>
        <w:tc>
          <w:tcPr>
            <w:tcW w:type="dxa" w:w="263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AED 20–30M (~US$5–8M)</w:t>
            </w:r>
          </w:p>
        </w:tc>
      </w:tr>
      <w:tr>
        <w:tc>
          <w:tcPr>
            <w:tcW w:type="dxa" w:w="150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260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GCC-wide + up-market</w:t>
            </w:r>
          </w:p>
        </w:tc>
        <w:tc>
          <w:tcPr>
            <w:tcW w:type="dxa" w:w="263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multi-segment</w:t>
            </w:r>
          </w:p>
        </w:tc>
        <w:tc>
          <w:tcPr>
            <w:tcW w:type="dxa" w:w="263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AED 150–370M (~US$40–100M)</w:t>
            </w:r>
          </w:p>
        </w:tc>
      </w:tr>
    </w:tbl>
    <w:p>
      <w:pPr>
        <w:spacing w:after="50"/>
      </w:pPr>
    </w:p>
    <w:p>
      <w:pPr>
        <w:spacing w:after="140" w:line="276"/>
      </w:pPr>
      <w:r>
        <w:t xml:space="preserve">At a category-leading vertical-AI multiple (~10–15x ARR), US$70–100M ARR is where a ~US$1B valuation comes into view. </w:t>
      </w:r>
      <w:r>
        <w:rPr>
          <w:b/>
          <w:bCs/>
        </w:rPr>
        <w:t xml:space="preserve">What has to be true: </w:t>
      </w:r>
      <w:r>
        <w:t xml:space="preserve">we keep churn low, expand ARPA with modules, win at least one large adjacent market (Saudi), and move up-market without losing the SME engine. None of these is guaranteed — but each is a concrete, fundable milestone rather than a leap of faith.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F1F7" w:sz="2"/>
              <w:left w:val="single" w:color="5B6670" w:sz="24"/>
              <w:bottom w:val="single" w:color="EAF1F7" w:sz="2"/>
              <w:right w:val="single" w:color="EAF1F7" w:sz="2"/>
            </w:tcBorders>
            <w:shd w:fill="EAF1F7" w:val="clear"/>
            <w:tcMar>
              <w:top w:type="dxa" w:w="130"/>
              <w:left w:type="dxa" w:w="180"/>
              <w:bottom w:type="dxa" w:w="13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2A43"/>
                <w:sz w:val="21"/>
                <w:szCs w:val="21"/>
              </w:rPr>
              <w:t xml:space="preserve">Honest risk framing</w:t>
            </w:r>
          </w:p>
          <w:p>
            <w:pPr>
              <w:spacing w:after="50" w:line="264"/>
            </w:pPr>
            <w:r>
              <w:rPr>
                <w:color w:val="222222"/>
                <w:sz w:val="20"/>
                <w:szCs w:val="20"/>
              </w:rPr>
              <w:t xml:space="preserve">Most startups do not reach US$1B, and this plan does not pretend otherwise. What this plan does guarantee is a defensible, capital-efficient business that can reach profitability from the wedge alone — so the billion-dollar climb is an option we earn, not a bet we must win to survive.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12. Company Setup, Tax &amp; Legal</w:t>
      </w:r>
    </w:p>
    <w:p>
      <w:pPr>
        <w:pStyle w:val="Heading3"/>
      </w:pPr>
      <w:r>
        <w:t xml:space="preserve">12.1 Recommended structure</w:t>
      </w:r>
    </w:p>
    <w:p>
      <w:pPr>
        <w:spacing w:after="140" w:line="276"/>
      </w:pPr>
      <w:r>
        <w:rPr>
          <w:b/>
          <w:bCs/>
        </w:rPr>
        <w:t xml:space="preserve">Recommendation: </w:t>
      </w:r>
      <w:r>
        <w:t xml:space="preserve">start lean in a low-cost Dubai free zone (IFZA or Meydan, ~AED 20,000 all-in, 1 visa) to conserve capital, and add a DET remote-branch permit (~AED 10,000) once you deliver services to mainland clients on-site. Because most DNFBP clients are mainland UAE, keep mainland DED (~AED 50,000) as the alternative if on-site delivery ramps fast. For later credibility with financial-services buyers, DIFC (Dubai AI Campus / FinTech Hive) is worth revisiting — but it brings DIFC's own data-protection and AI obligations, so it is a Phase-2 consideration, not the starting point.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1F5C8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Option</w:t>
            </w:r>
          </w:p>
        </w:tc>
        <w:tc>
          <w:tcPr>
            <w:tcW w:type="dxa" w:w="312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1F5C8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All-in yr 1 (1 visa)</w:t>
            </w:r>
          </w:p>
        </w:tc>
        <w:tc>
          <w:tcPr>
            <w:tcW w:type="dxa" w:w="312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1F5C8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Best when</w:t>
            </w:r>
          </w:p>
        </w:tc>
      </w:tr>
      <w:tr>
        <w:tc>
          <w:tcPr>
            <w:tcW w:type="dxa" w:w="312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F6EFD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IFZA / Meydan (free zone)</w:t>
            </w:r>
          </w:p>
        </w:tc>
        <w:tc>
          <w:tcPr>
            <w:tcW w:type="dxa" w:w="312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F6EFD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~AED 20,000</w:t>
            </w:r>
          </w:p>
        </w:tc>
        <w:tc>
          <w:tcPr>
            <w:tcW w:type="dxa" w:w="312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F6EFD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Start here — cheap, fast, digital</w:t>
            </w:r>
          </w:p>
        </w:tc>
      </w:tr>
      <w:tr>
        <w:tc>
          <w:tcPr>
            <w:tcW w:type="dxa" w:w="312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in5 (DIC incubator)</w:t>
            </w:r>
          </w:p>
        </w:tc>
        <w:tc>
          <w:tcPr>
            <w:tcW w:type="dxa" w:w="312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~AED 17–20,000</w:t>
            </w:r>
          </w:p>
        </w:tc>
        <w:tc>
          <w:tcPr>
            <w:tcW w:type="dxa" w:w="312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If accepted — cheapest credible tech address</w:t>
            </w:r>
          </w:p>
        </w:tc>
      </w:tr>
      <w:tr>
        <w:tc>
          <w:tcPr>
            <w:tcW w:type="dxa" w:w="312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Mainland DED</w:t>
            </w:r>
          </w:p>
        </w:tc>
        <w:tc>
          <w:tcPr>
            <w:tcW w:type="dxa" w:w="312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~AED 50,000</w:t>
            </w:r>
          </w:p>
        </w:tc>
        <w:tc>
          <w:tcPr>
            <w:tcW w:type="dxa" w:w="312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If selling/servicing mainland heavily from day one</w:t>
            </w:r>
          </w:p>
        </w:tc>
      </w:tr>
      <w:tr>
        <w:tc>
          <w:tcPr>
            <w:tcW w:type="dxa" w:w="312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DIFC AI Licence</w:t>
            </w:r>
          </w:p>
        </w:tc>
        <w:tc>
          <w:tcPr>
            <w:tcW w:type="dxa" w:w="312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~AED 20–30,000+</w:t>
            </w:r>
          </w:p>
        </w:tc>
        <w:tc>
          <w:tcPr>
            <w:tcW w:type="dxa" w:w="312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Phase 2 — financial-services credibility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12.2 Three things to get right at incorporation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6EFDD" w:sz="2"/>
              <w:left w:val="single" w:color="C8A24B" w:sz="24"/>
              <w:bottom w:val="single" w:color="F6EFDD" w:sz="2"/>
              <w:right w:val="single" w:color="F6EFDD" w:sz="2"/>
            </w:tcBorders>
            <w:shd w:fill="F6EFDD" w:val="clear"/>
            <w:tcMar>
              <w:top w:type="dxa" w:w="130"/>
              <w:left w:type="dxa" w:w="180"/>
              <w:bottom w:type="dxa" w:w="13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2A43"/>
                <w:sz w:val="21"/>
                <w:szCs w:val="21"/>
              </w:rPr>
              <w:t xml:space="preserve">Critical tax-timing trap</w:t>
            </w:r>
          </w:p>
          <w:p>
            <w:pPr>
              <w:spacing w:after="50" w:line="264"/>
            </w:pPr>
            <w:r>
              <w:rPr>
                <w:color w:val="222222"/>
                <w:sz w:val="20"/>
                <w:szCs w:val="20"/>
              </w:rPr>
              <w:t xml:space="preserve">UAE Small Business Relief (0% corporate tax if revenue ≤ AED 3M) only applies to tax periods ending on or before 31 Dec 2026, with no extension announced. A company incorporated in mid-2026 will typically have its first period end in 2027 and may miss the relief entirely. Instruct your tax adviser at setup to deliberately structure a short first tax period ending 31 Dec 2026 where possible. This one decision can save real money.</w:t>
            </w:r>
          </w:p>
        </w:tc>
      </w:tr>
    </w:tbl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Corporate tax &amp; VAT: </w:t>
      </w:r>
      <w:r>
        <w:t xml:space="preserve">register for corporate tax (mandatory; AED 10,000 late-registration penalty). Register for VAT at the AED 375,000 threshold. Note e-invoicing becomes mandatory for all businesses from 1 July 2027 — build it into your own stack (and later, sell it as a module).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PDPL from day one: </w:t>
      </w:r>
      <w:r>
        <w:t xml:space="preserve">as a compliance product handling sensitive customer data, PDPL-aligned practices (lawful basis, in-region storage, breach process) are both mandatory and a selling point. Enforcement is expected to arrive during your first 1–2 years via the new Federal AI &amp; Data Authority.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Liability posture: </w:t>
      </w:r>
      <w:r>
        <w:t xml:space="preserve">position Amana as decision-support with a human MLRO accountable; carry professional-indemnity insurance; get a UAE compliance lawyer to review your terms and disclaimers before the first paying client.</w:t>
      </w:r>
    </w:p>
    <w:p>
      <w:r>
        <w:br w:type="page"/>
      </w:r>
    </w:p>
    <w:p>
      <w:pPr>
        <w:pStyle w:val="Heading1"/>
      </w:pPr>
      <w:r>
        <w:t xml:space="preserve">13. First-Year Budget</w:t>
      </w:r>
    </w:p>
    <w:p>
      <w:pPr>
        <w:spacing w:after="140" w:line="276"/>
      </w:pPr>
      <w:r>
        <w:t xml:space="preserve">Illustrative allocation of an AED 100k–500k envelope. This is a lean, founder-built plan; the largest line is your own runway, not spend.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580"/>
        <w:gridCol w:w="2580"/>
      </w:tblGrid>
      <w:tr>
        <w:trPr>
          <w:tblHeader/>
        </w:trPr>
        <w:tc>
          <w:tcPr>
            <w:tcW w:type="dxa" w:w="420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0F2A4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258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0F2A4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Lean (~AED 150k)</w:t>
            </w:r>
          </w:p>
        </w:tc>
        <w:tc>
          <w:tcPr>
            <w:tcW w:type="dxa" w:w="258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0F2A4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Funded (~AED 450k)</w:t>
            </w:r>
          </w:p>
        </w:tc>
      </w:tr>
      <w:tr>
        <w:tc>
          <w:tcPr>
            <w:tcW w:type="dxa" w:w="420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Company setup + license + visa</w:t>
            </w:r>
          </w:p>
        </w:tc>
        <w:tc>
          <w:tcPr>
            <w:tcW w:type="dxa" w:w="258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AED 20,000</w:t>
            </w:r>
          </w:p>
        </w:tc>
        <w:tc>
          <w:tcPr>
            <w:tcW w:type="dxa" w:w="258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AED 30,000</w:t>
            </w:r>
          </w:p>
        </w:tc>
      </w:tr>
      <w:tr>
        <w:tc>
          <w:tcPr>
            <w:tcW w:type="dxa" w:w="420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Cloud + LLM/API + tools (yr 1)</w:t>
            </w:r>
          </w:p>
        </w:tc>
        <w:tc>
          <w:tcPr>
            <w:tcW w:type="dxa" w:w="258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AED 18,000</w:t>
            </w:r>
          </w:p>
        </w:tc>
        <w:tc>
          <w:tcPr>
            <w:tcW w:type="dxa" w:w="258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AED 40,000</w:t>
            </w:r>
          </w:p>
        </w:tc>
      </w:tr>
      <w:tr>
        <w:tc>
          <w:tcPr>
            <w:tcW w:type="dxa" w:w="420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Sanctions/PEP data + screening feeds</w:t>
            </w:r>
          </w:p>
        </w:tc>
        <w:tc>
          <w:tcPr>
            <w:tcW w:type="dxa" w:w="258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AED 15,000</w:t>
            </w:r>
          </w:p>
        </w:tc>
        <w:tc>
          <w:tcPr>
            <w:tcW w:type="dxa" w:w="258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AED 35,000</w:t>
            </w:r>
          </w:p>
        </w:tc>
      </w:tr>
      <w:tr>
        <w:tc>
          <w:tcPr>
            <w:tcW w:type="dxa" w:w="420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Fractional compliance advisor</w:t>
            </w:r>
          </w:p>
        </w:tc>
        <w:tc>
          <w:tcPr>
            <w:tcW w:type="dxa" w:w="258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AED 24,000</w:t>
            </w:r>
          </w:p>
        </w:tc>
        <w:tc>
          <w:tcPr>
            <w:tcW w:type="dxa" w:w="258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AED 60,000</w:t>
            </w:r>
          </w:p>
        </w:tc>
      </w:tr>
      <w:tr>
        <w:tc>
          <w:tcPr>
            <w:tcW w:type="dxa" w:w="420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One offshore developer (part/full year)</w:t>
            </w:r>
          </w:p>
        </w:tc>
        <w:tc>
          <w:tcPr>
            <w:tcW w:type="dxa" w:w="258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— (you build)</w:t>
            </w:r>
          </w:p>
        </w:tc>
        <w:tc>
          <w:tcPr>
            <w:tcW w:type="dxa" w:w="258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AED 120,000</w:t>
            </w:r>
          </w:p>
        </w:tc>
      </w:tr>
      <w:tr>
        <w:tc>
          <w:tcPr>
            <w:tcW w:type="dxa" w:w="420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Legal (terms, PI insurance, contracts)</w:t>
            </w:r>
          </w:p>
        </w:tc>
        <w:tc>
          <w:tcPr>
            <w:tcW w:type="dxa" w:w="258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AED 15,000</w:t>
            </w:r>
          </w:p>
        </w:tc>
        <w:tc>
          <w:tcPr>
            <w:tcW w:type="dxa" w:w="258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AED 30,000</w:t>
            </w:r>
          </w:p>
        </w:tc>
      </w:tr>
      <w:tr>
        <w:tc>
          <w:tcPr>
            <w:tcW w:type="dxa" w:w="420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Sales/marketing (LinkedIn, content, events)</w:t>
            </w:r>
          </w:p>
        </w:tc>
        <w:tc>
          <w:tcPr>
            <w:tcW w:type="dxa" w:w="258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AED 18,000</w:t>
            </w:r>
          </w:p>
        </w:tc>
        <w:tc>
          <w:tcPr>
            <w:tcW w:type="dxa" w:w="258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AED 45,000</w:t>
            </w:r>
          </w:p>
        </w:tc>
      </w:tr>
      <w:tr>
        <w:tc>
          <w:tcPr>
            <w:tcW w:type="dxa" w:w="420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ISO 27001 / SOC 2 kickoff</w:t>
            </w:r>
          </w:p>
        </w:tc>
        <w:tc>
          <w:tcPr>
            <w:tcW w:type="dxa" w:w="258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— (defer)</w:t>
            </w:r>
          </w:p>
        </w:tc>
        <w:tc>
          <w:tcPr>
            <w:tcW w:type="dxa" w:w="258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AED 40,000</w:t>
            </w:r>
          </w:p>
        </w:tc>
      </w:tr>
      <w:tr>
        <w:tc>
          <w:tcPr>
            <w:tcW w:type="dxa" w:w="420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Buffer / founder runway</w:t>
            </w:r>
          </w:p>
        </w:tc>
        <w:tc>
          <w:tcPr>
            <w:tcW w:type="dxa" w:w="258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AED 25,000</w:t>
            </w:r>
          </w:p>
        </w:tc>
        <w:tc>
          <w:tcPr>
            <w:tcW w:type="dxa" w:w="258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AED 50,000</w:t>
            </w:r>
          </w:p>
        </w:tc>
      </w:tr>
      <w:tr>
        <w:tc>
          <w:tcPr>
            <w:tcW w:type="dxa" w:w="420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0F2A4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TOTAL</w:t>
            </w:r>
          </w:p>
        </w:tc>
        <w:tc>
          <w:tcPr>
            <w:tcW w:type="dxa" w:w="258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0F2A4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~AED 150,000</w:t>
            </w:r>
          </w:p>
        </w:tc>
        <w:tc>
          <w:tcPr>
            <w:tcW w:type="dxa" w:w="258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0F2A4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~AED 450,000</w:t>
            </w:r>
          </w:p>
        </w:tc>
      </w:tr>
    </w:tbl>
    <w:p>
      <w:pPr>
        <w:spacing w:after="50"/>
      </w:pPr>
    </w:p>
    <w:p>
      <w:pPr>
        <w:spacing w:after="140" w:line="276"/>
      </w:pPr>
      <w:r>
        <w:rPr>
          <w:b/>
          <w:bCs/>
        </w:rPr>
        <w:t xml:space="preserve">Cash discipline: </w:t>
      </w:r>
      <w:r>
        <w:t xml:space="preserve">service revenue should begin in month 1–2 and fund a meaningful share of year-one costs. Take 40–50% advances and bill on milestones — UAE B2B payment terms run long (55%+ of invoices are paid late), so protect runway with deposits and keep a 3–6 month buffer.</w:t>
      </w:r>
    </w:p>
    <w:p>
      <w:r>
        <w:br w:type="page"/>
      </w:r>
    </w:p>
    <w:p>
      <w:pPr>
        <w:pStyle w:val="Heading1"/>
      </w:pPr>
      <w:r>
        <w:t xml:space="preserve">14.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0F2A4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596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0F2A4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</w:tr>
      <w:tr>
        <w:tc>
          <w:tcPr>
            <w:tcW w:type="dxa" w:w="340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Regulatory / liability exposure (we touch filings)</w:t>
            </w:r>
          </w:p>
        </w:tc>
        <w:tc>
          <w:tcPr>
            <w:tcW w:type="dxa" w:w="596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Human-in-the-loop; MLRO remains accountable; lawyer-reviewed disclaimers; professional-indemnity insurance; decision-support positioning</w:t>
            </w:r>
          </w:p>
        </w:tc>
      </w:tr>
      <w:tr>
        <w:tc>
          <w:tcPr>
            <w:tcW w:type="dxa" w:w="340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Incumbent moves down-market</w:t>
            </w:r>
          </w:p>
        </w:tc>
        <w:tc>
          <w:tcPr>
            <w:tcW w:type="dxa" w:w="596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Move fast; own the SME relationship + data + audit trail; expand modules for stickiness before they arrive</w:t>
            </w:r>
          </w:p>
        </w:tc>
      </w:tr>
      <w:tr>
        <w:tc>
          <w:tcPr>
            <w:tcW w:type="dxa" w:w="340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Trust barrier (compliance from an unknown founder)</w:t>
            </w:r>
          </w:p>
        </w:tc>
        <w:tc>
          <w:tcPr>
            <w:tcW w:type="dxa" w:w="596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Ex-regulator/MLRO advisor; free gap-check to prove value; reference customers; security certifications; Dubai AI Seal</w:t>
            </w:r>
          </w:p>
        </w:tc>
      </w:tr>
      <w:tr>
        <w:tc>
          <w:tcPr>
            <w:tcW w:type="dxa" w:w="340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goAML / EmaraTax integration friction</w:t>
            </w:r>
          </w:p>
        </w:tc>
        <w:tc>
          <w:tcPr>
            <w:tcW w:type="dxa" w:w="596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Ship file-generation (valid XML) first; pursue direct integration/accreditation only after reference customers</w:t>
            </w:r>
          </w:p>
        </w:tc>
      </w:tr>
      <w:tr>
        <w:tc>
          <w:tcPr>
            <w:tcW w:type="dxa" w:w="340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Data privacy (PDPL) &amp; security</w:t>
            </w:r>
          </w:p>
        </w:tc>
        <w:tc>
          <w:tcPr>
            <w:tcW w:type="dxa" w:w="596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UAE data residency from day one; encryption + audit logging; ISO 27001 roadmap — turns a risk into a selling point</w:t>
            </w:r>
          </w:p>
        </w:tc>
      </w:tr>
      <w:tr>
        <w:tc>
          <w:tcPr>
            <w:tcW w:type="dxa" w:w="340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Solo-founder bandwidth</w:t>
            </w:r>
          </w:p>
        </w:tc>
        <w:tc>
          <w:tcPr>
            <w:tcW w:type="dxa" w:w="596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Service-first funds an early offshore hire; automate outreach; firm channel multiplies reach without headcount</w:t>
            </w:r>
          </w:p>
        </w:tc>
      </w:tr>
      <w:tr>
        <w:tc>
          <w:tcPr>
            <w:tcW w:type="dxa" w:w="340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Regime change (rules soften)</w:t>
            </w:r>
          </w:p>
        </w:tc>
        <w:tc>
          <w:tcPr>
            <w:tcW w:type="dxa" w:w="596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Unlikely (regime is hardening), but module diversification into Tax/VAT/e-invoicing hedges single-obligation dependence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15. Immediate Next Steps (First 30 Days)</w:t>
      </w:r>
    </w:p>
    <w:p>
      <w:pPr>
        <w:pStyle w:val="ListParagraph"/>
        <w:numPr>
          <w:ilvl w:val="0"/>
          <w:numId w:val="4"/>
        </w:numPr>
        <w:spacing w:after="70" w:line="268"/>
      </w:pPr>
      <w:r>
        <w:t xml:space="preserve">Validate with 10 buyer conversations. Before writing production code, get 10 DNFBP owners/MLROs on calls via the free gap-check. Confirm the pain, the willingness to pay, and the exact STR/screening workflow.</w:t>
      </w:r>
    </w:p>
    <w:p>
      <w:pPr>
        <w:pStyle w:val="ListParagraph"/>
        <w:numPr>
          <w:ilvl w:val="0"/>
          <w:numId w:val="4"/>
        </w:numPr>
        <w:spacing w:after="70" w:line="268"/>
      </w:pPr>
      <w:r>
        <w:t xml:space="preserve">Lock the name + register. Trademark-check “Amana” (and alternatives: Rasid, Wathiq, Sadd, or a coined mark); reserve domain and socials; begin IFZA/Meydan incorporation with the short-first-tax-period instruction.</w:t>
      </w:r>
    </w:p>
    <w:p>
      <w:pPr>
        <w:pStyle w:val="ListParagraph"/>
        <w:numPr>
          <w:ilvl w:val="0"/>
          <w:numId w:val="4"/>
        </w:numPr>
        <w:spacing w:after="70" w:line="268"/>
      </w:pPr>
      <w:r>
        <w:t xml:space="preserve">Recruit one credible advisor. An ex-regulator or veteran MLRO, on a small advisory equity grant — your fastest credibility unlock.</w:t>
      </w:r>
    </w:p>
    <w:p>
      <w:pPr>
        <w:pStyle w:val="ListParagraph"/>
        <w:numPr>
          <w:ilvl w:val="0"/>
          <w:numId w:val="4"/>
        </w:numPr>
        <w:spacing w:after="70" w:line="268"/>
      </w:pPr>
      <w:r>
        <w:t xml:space="preserve">Build the buyer list. 500 named DNFBPs with decision-maker contacts from RERA/DMCC/DED + LinkedIn; draft the outreach cadence and the free-gap-check script.</w:t>
      </w:r>
    </w:p>
    <w:p>
      <w:pPr>
        <w:pStyle w:val="ListParagraph"/>
        <w:numPr>
          <w:ilvl w:val="0"/>
          <w:numId w:val="4"/>
        </w:numPr>
        <w:spacing w:after="70" w:line="268"/>
      </w:pPr>
      <w:r>
        <w:t xml:space="preserve">Ship a clickable STR-drafter demo. Even a thin prototype that turns a described suspicion into goAML-ready XML — this is what converts the first paid service clients into believers.</w:t>
      </w:r>
    </w:p>
    <w:p>
      <w:pPr>
        <w:pStyle w:val="ListParagraph"/>
        <w:numPr>
          <w:ilvl w:val="0"/>
          <w:numId w:val="4"/>
        </w:numPr>
        <w:spacing w:after="70" w:line="268"/>
      </w:pPr>
      <w:r>
        <w:t xml:space="preserve">Sign the first 2–3 paying service clients. Cash, data, and case studies. Everything compounds from here.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6EFDD" w:sz="2"/>
              <w:left w:val="single" w:color="C8A24B" w:sz="24"/>
              <w:bottom w:val="single" w:color="F6EFDD" w:sz="2"/>
              <w:right w:val="single" w:color="F6EFDD" w:sz="2"/>
            </w:tcBorders>
            <w:shd w:fill="F6EFDD" w:val="clear"/>
            <w:tcMar>
              <w:top w:type="dxa" w:w="130"/>
              <w:left w:type="dxa" w:w="180"/>
              <w:bottom w:type="dxa" w:w="13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2A43"/>
                <w:sz w:val="21"/>
                <w:szCs w:val="21"/>
              </w:rPr>
              <w:t xml:space="preserve">The one-line mandate</w:t>
            </w:r>
          </w:p>
          <w:p>
            <w:pPr>
              <w:spacing w:after="50" w:line="264"/>
            </w:pPr>
            <w:r>
              <w:rPr>
                <w:color w:val="222222"/>
                <w:sz w:val="20"/>
                <w:szCs w:val="20"/>
              </w:rPr>
              <w:t xml:space="preserve">Sell fear-priced AML compliance to a named list of DNFBPs, deliver it as a service, productize what repeats, and expand into the whole compliance stack — starting this month.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Appendix A — Naming Note</w:t>
      </w:r>
    </w:p>
    <w:p>
      <w:pPr>
        <w:spacing w:after="140" w:line="276"/>
      </w:pPr>
      <w:r>
        <w:rPr>
          <w:b/>
          <w:bCs/>
        </w:rPr>
        <w:t xml:space="preserve">“Amana”</w:t>
      </w:r>
      <w:r>
        <w:t xml:space="preserve"> (أمانة, trust / fiduciary duty / safekeeping) is a working placeholder chosen for its perfect thematic fit with compliance and easy English pronunciation. Because several UAE businesses use “Amana/Amanah,” a trademark and domain search is required before committing.</w:t>
      </w:r>
    </w:p>
    <w:p>
      <w:pPr>
        <w:spacing w:after="140" w:line="276"/>
      </w:pPr>
      <w:r>
        <w:t xml:space="preserve">Alternatives, all compliance/vigilance-themed and English-friendly: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Rasid</w:t>
      </w:r>
      <w:r>
        <w:t xml:space="preserve"> (راصد, “the monitor / observer”) — apt for screening &amp; monitoring.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Wathiq</w:t>
      </w:r>
      <w:r>
        <w:t xml:space="preserve"> (واثق, “confident / assured”) — signals audit-readiness.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Sadd</w:t>
      </w:r>
      <w:r>
        <w:t xml:space="preserve"> (سد, “barrier / dam”) — blocking illicit flows.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Coined marks: </w:t>
      </w:r>
      <w:r>
        <w:t xml:space="preserve">Complai, Sentri, Clarim — neutral, globally scalable, easier to trademark.</w:t>
      </w:r>
    </w:p>
    <w:p>
      <w:pPr>
        <w:pStyle w:val="Heading1"/>
      </w:pPr>
      <w:r>
        <w:t xml:space="preserve">Appendix B — Key Sources</w:t>
      </w:r>
    </w:p>
    <w:p>
      <w:pPr>
        <w:spacing w:after="140" w:line="276"/>
      </w:pPr>
      <w:r>
        <w:t xml:space="preserve">Selected primary and analyst sources behind the load-bearing claims. Full URL lists (~90 sources across three research streams) are retained in the project research notes.</w:t>
      </w:r>
    </w:p>
    <w:p>
      <w:pPr>
        <w:pStyle w:val="Heading3"/>
      </w:pPr>
      <w:r>
        <w:t xml:space="preserve">AML / DNFBP enforcement (the wedge)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4kxvpeqvpezbw503rlyvu">
        <w:r>
          <w:rPr>
            <w:rStyle w:val="Hyperlink"/>
            <w:sz w:val="18"/>
            <w:szCs w:val="18"/>
          </w:rPr>
          <w:t xml:space="preserve">UAE Ministry of Economy — DNFBP fines (AED 3M+ on eight firms) — </w:t>
        </w:r>
      </w:hyperlink>
      <w:r>
        <w:rPr>
          <w:color w:val="5B6670"/>
          <w:sz w:val="16"/>
          <w:szCs w:val="16"/>
        </w:rPr>
        <w:t xml:space="preserve">https://www.moet.gov.ae/en/registering-companies-in-goaml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kjcv2jiqglyiacmvfqwj-">
        <w:r>
          <w:rPr>
            <w:rStyle w:val="Hyperlink"/>
            <w:sz w:val="18"/>
            <w:szCs w:val="18"/>
          </w:rPr>
          <w:t xml:space="preserve">ADEPTS — UAE AML enforcement: &gt;AED 380M fines H1 2025 — </w:t>
        </w:r>
      </w:hyperlink>
      <w:r>
        <w:rPr>
          <w:color w:val="5B6670"/>
          <w:sz w:val="16"/>
          <w:szCs w:val="16"/>
        </w:rPr>
        <w:t xml:space="preserve">https://taxadepts.com/uae-stringent-aml-enforcement-380m-fines-first-half-of-2025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zkl9dbxc_kytiyfcbxgv_">
        <w:r>
          <w:rPr>
            <w:rStyle w:val="Hyperlink"/>
            <w:sz w:val="18"/>
            <w:szCs w:val="18"/>
          </w:rPr>
          <w:t xml:space="preserve">DWF — UAE Federal Law No. 10 of 2025 on Fighting Financial Crimes — </w:t>
        </w:r>
      </w:hyperlink>
      <w:r>
        <w:rPr>
          <w:color w:val="5B6670"/>
          <w:sz w:val="16"/>
          <w:szCs w:val="16"/>
        </w:rPr>
        <w:t xml:space="preserve">https://dwfgroup.com/en/news-and-insights/insights/2025/10/uae-law-no-october-2025-on-fighting-financial-crimes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jaki1-r4qvca4e1dfiodq">
        <w:r>
          <w:rPr>
            <w:rStyle w:val="Hyperlink"/>
            <w:sz w:val="18"/>
            <w:szCs w:val="18"/>
          </w:rPr>
          <w:t xml:space="preserve">Crowe — Revised AML/CFT Guidelines for DNFBPs 2025 — </w:t>
        </w:r>
      </w:hyperlink>
      <w:r>
        <w:rPr>
          <w:color w:val="5B6670"/>
          <w:sz w:val="16"/>
          <w:szCs w:val="16"/>
        </w:rPr>
        <w:t xml:space="preserve">https://www.crowe.com/ae/news/revised-aml-cft-guidelines-for-dnfbps-2025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f3mhshbbn9rbfv12ckgkw">
        <w:r>
          <w:rPr>
            <w:rStyle w:val="Hyperlink"/>
            <w:sz w:val="18"/>
            <w:szCs w:val="18"/>
          </w:rPr>
          <w:t xml:space="preserve">Ministry of Economy — Does your company fall under DNFBP? — </w:t>
        </w:r>
      </w:hyperlink>
      <w:r>
        <w:rPr>
          <w:color w:val="5B6670"/>
          <w:sz w:val="16"/>
          <w:szCs w:val="16"/>
        </w:rPr>
        <w:t xml:space="preserve">https://www.moet.gov.ae/en/-/does-your-company-fall-under-the-dnfbp</w:t>
      </w:r>
    </w:p>
    <w:p>
      <w:pPr>
        <w:pStyle w:val="Heading3"/>
      </w:pPr>
      <w:r>
        <w:t xml:space="preserve">Market, adoption &amp; funding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qz_nbj4bfcrqhpuebsjxo">
        <w:r>
          <w:rPr>
            <w:rStyle w:val="Hyperlink"/>
            <w:sz w:val="18"/>
            <w:szCs w:val="18"/>
          </w:rPr>
          <w:t xml:space="preserve">Microsoft AI Economy Institute — UAE 70% AI adoption (Khaleej Times) — </w:t>
        </w:r>
      </w:hyperlink>
      <w:r>
        <w:rPr>
          <w:color w:val="5B6670"/>
          <w:sz w:val="16"/>
          <w:szCs w:val="16"/>
        </w:rPr>
        <w:t xml:space="preserve">https://www.khaleejtimes.com/business/tech/uae-tops-global-ai-adoption-rankings-as-workplace-usage-crosses-70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ialfkamqk9h_yfzqmwq2o">
        <w:r>
          <w:rPr>
            <w:rStyle w:val="Hyperlink"/>
            <w:sz w:val="18"/>
            <w:szCs w:val="18"/>
          </w:rPr>
          <w:t xml:space="preserve">McKinsey — State of AI in GCC (scale &amp; value gap) — </w:t>
        </w:r>
      </w:hyperlink>
      <w:r>
        <w:rPr>
          <w:color w:val="5B6670"/>
          <w:sz w:val="16"/>
          <w:szCs w:val="16"/>
        </w:rPr>
        <w:t xml:space="preserve">https://www.mckinsey.com/capabilities/quantumblack/our-insights/the-state-of-ai-in-gcc-countries-in-pursuit-of-scale-and-value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0fbgdg_8mqbmpifuyluio">
        <w:r>
          <w:rPr>
            <w:rStyle w:val="Hyperlink"/>
            <w:sz w:val="18"/>
            <w:szCs w:val="18"/>
          </w:rPr>
          <w:t xml:space="preserve">MAGNiTT — FY2025 State of Venture &amp; AI in MENA — </w:t>
        </w:r>
      </w:hyperlink>
      <w:r>
        <w:rPr>
          <w:color w:val="5B6670"/>
          <w:sz w:val="16"/>
          <w:szCs w:val="16"/>
        </w:rPr>
        <w:t xml:space="preserve">https://magnitt.com/research/FY-2025-State-of-Venture-Capital-of-AI-in-MENA-51029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2sxwpfw2t_ngxbbvndks9">
        <w:r>
          <w:rPr>
            <w:rStyle w:val="Hyperlink"/>
            <w:sz w:val="18"/>
            <w:szCs w:val="18"/>
          </w:rPr>
          <w:t xml:space="preserve">Grand View Research — UAE AI market outlook — </w:t>
        </w:r>
      </w:hyperlink>
      <w:r>
        <w:rPr>
          <w:color w:val="5B6670"/>
          <w:sz w:val="16"/>
          <w:szCs w:val="16"/>
        </w:rPr>
        <w:t xml:space="preserve">https://www.grandviewresearch.com/horizon/outlook/artificial-intelligence-market/uae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wlizn4ty99hcmffx1s_rc">
        <w:r>
          <w:rPr>
            <w:rStyle w:val="Hyperlink"/>
            <w:sz w:val="18"/>
            <w:szCs w:val="18"/>
          </w:rPr>
          <w:t xml:space="preserve">DIFC — AI Licence &amp; Dubai AI Campus — </w:t>
        </w:r>
      </w:hyperlink>
      <w:r>
        <w:rPr>
          <w:color w:val="5B6670"/>
          <w:sz w:val="16"/>
          <w:szCs w:val="16"/>
        </w:rPr>
        <w:t xml:space="preserve">https://www.difc.com/business/establish-a-business/ai-licence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mfdttjvucq_c9-1oejcrl">
        <w:r>
          <w:rPr>
            <w:rStyle w:val="Hyperlink"/>
            <w:sz w:val="18"/>
            <w:szCs w:val="18"/>
          </w:rPr>
          <w:t xml:space="preserve">Presight &amp; Shorooq — US$100M AI fund — </w:t>
        </w:r>
      </w:hyperlink>
      <w:r>
        <w:rPr>
          <w:color w:val="5B6670"/>
          <w:sz w:val="16"/>
          <w:szCs w:val="16"/>
        </w:rPr>
        <w:t xml:space="preserve">https://www.thenationalnews.com/future/technology/2025/09/23/abu-dhabis-presight-and-shorooq-launch-100m-ai-fund/</w:t>
      </w:r>
    </w:p>
    <w:p>
      <w:pPr>
        <w:pStyle w:val="Heading3"/>
      </w:pPr>
      <w:r>
        <w:t xml:space="preserve">Setup, tax &amp; regulation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qyw_1ihohuq4ge38r-jkb">
        <w:r>
          <w:rPr>
            <w:rStyle w:val="Hyperlink"/>
            <w:sz w:val="18"/>
            <w:szCs w:val="18"/>
          </w:rPr>
          <w:t xml:space="preserve">PwC — UAE corporate tax summary — </w:t>
        </w:r>
      </w:hyperlink>
      <w:r>
        <w:rPr>
          <w:color w:val="5B6670"/>
          <w:sz w:val="16"/>
          <w:szCs w:val="16"/>
        </w:rPr>
        <w:t xml:space="preserve">https://taxsummaries.pwc.com/united-arab-emirates/corporate/tax-credits-and-incentives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jj0ilr53rz3sv4np_gmu_">
        <w:r>
          <w:rPr>
            <w:rStyle w:val="Hyperlink"/>
            <w:sz w:val="18"/>
            <w:szCs w:val="18"/>
          </w:rPr>
          <w:t xml:space="preserve">UAE FTA — Small Business Relief — </w:t>
        </w:r>
      </w:hyperlink>
      <w:r>
        <w:rPr>
          <w:color w:val="5B6670"/>
          <w:sz w:val="16"/>
          <w:szCs w:val="16"/>
        </w:rPr>
        <w:t xml:space="preserve">https://tax.gov.ae/en/taxes/corporate.tax/corporate.tax.topics/small.business.relief.23.aspx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vq6kkjqgyvfxzwhamxqqt">
        <w:r>
          <w:rPr>
            <w:rStyle w:val="Hyperlink"/>
            <w:sz w:val="18"/>
            <w:szCs w:val="18"/>
          </w:rPr>
          <w:t xml:space="preserve">Morgan Lewis — UAE Federal Authority for AI &amp; Data (June 2026) — </w:t>
        </w:r>
      </w:hyperlink>
      <w:r>
        <w:rPr>
          <w:color w:val="5B6670"/>
          <w:sz w:val="16"/>
          <w:szCs w:val="16"/>
        </w:rPr>
        <w:t xml:space="preserve">https://www.morganlewis.com/pubs/2026/06/uae-establishes-federal-authority-for-artificial-intelligence-and-data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hu-b1gffnvbwq612tlwrj">
        <w:r>
          <w:rPr>
            <w:rStyle w:val="Hyperlink"/>
            <w:sz w:val="18"/>
            <w:szCs w:val="18"/>
          </w:rPr>
          <w:t xml:space="preserve">Deloitte — UAE e-invoicing timeline — </w:t>
        </w:r>
      </w:hyperlink>
      <w:r>
        <w:rPr>
          <w:color w:val="5B6670"/>
          <w:sz w:val="16"/>
          <w:szCs w:val="16"/>
        </w:rPr>
        <w:t xml:space="preserve">https://www.deloitte.com/middle-east/en/services/tax/perspectives/release-of-uae-einvoicing-legislation.html</w:t>
      </w:r>
    </w:p>
    <w:p>
      <w:pPr>
        <w:spacing w:after="120"/>
      </w:pPr>
    </w:p>
    <w:p>
      <w:pPr>
        <w:spacing w:after="140" w:line="276"/>
      </w:pPr>
      <w:r>
        <w:rPr>
          <w:b/>
          <w:bCs/>
          <w:i/>
          <w:iCs/>
        </w:rPr>
        <w:t xml:space="preserve">Note on figures: </w:t>
      </w:r>
      <w:r>
        <w:rPr>
          <w:i/>
          <w:iCs/>
          <w:color w:val="5B6670"/>
          <w:sz w:val="18"/>
          <w:szCs w:val="18"/>
        </w:rPr>
        <w:t xml:space="preserve">government enforcement, fine ranges, tax thresholds and funding amounts are drawn from official or primary analyst sources. Market-size dollar figures and some adoption percentages are vendor-sourced and should be treated as directional.</w:t>
      </w:r>
    </w:p>
    <w:sectPr>
      <w:headerReference w:type="default" r:id="rId7"/>
      <w:footerReference w:type="default" r:id="rId8"/>
      <w:pgSz w:w="12240" w:h="15840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DCE3" w:sz="4" w:space="4"/>
      </w:pBdr>
      <w:tabs>
        <w:tab w:val="right" w:pos="9026"/>
      </w:tabs>
    </w:pPr>
    <w:r>
      <w:rPr>
        <w:color w:val="5B6670"/>
        <w:sz w:val="15"/>
        <w:szCs w:val="15"/>
      </w:rPr>
      <w:t xml:space="preserve">Confidential — prepared for Vatsal</w:t>
    </w:r>
    <w:r>
      <w:rPr>
        <w:sz w:val="15"/>
        <w:szCs w:val="15"/>
      </w:rPr>
      <w:t xml:space="preserve">	</w:t>
    </w:r>
    <w:r>
      <w:rPr>
        <w:color w:val="5B6670"/>
        <w:sz w:val="15"/>
        <w:szCs w:val="15"/>
      </w:rPr>
      <w:t xml:space="preserve">Page </w:t>
    </w:r>
    <w:r>
      <w:rPr>
        <w:color w:val="5B6670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5DCE3" w:sz="4" w:space="4"/>
      </w:pBdr>
      <w:spacing w:after="0"/>
    </w:pPr>
    <w:r>
      <w:rPr>
        <w:b/>
        <w:bCs/>
        <w:color w:val="0F2A43"/>
        <w:sz w:val="15"/>
        <w:szCs w:val="15"/>
      </w:rPr>
      <w:t xml:space="preserve">AMANA</w:t>
    </w:r>
    <w:r>
      <w:rPr>
        <w:color w:val="5B6670"/>
        <w:sz w:val="15"/>
        <w:szCs w:val="15"/>
      </w:rPr>
      <w:t xml:space="preserve">   ·   Founding Strategy &amp; Business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  <w:rPr>
        <w:color w:val="C8A24B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8A24B" w:sz="10" w:space="6"/>
      </w:pBdr>
      <w:spacing w:after="160" w:before="260"/>
      <w:outlineLvl w:val="0"/>
    </w:pPr>
    <w:rPr>
      <w:rFonts w:ascii="Calibri" w:cs="Calibri" w:eastAsia="Calibri" w:hAnsi="Calibri"/>
      <w:b/>
      <w:bCs/>
      <w:color w:val="0F2A43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1F5C8A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70" w:before="150"/>
      <w:outlineLvl w:val="2"/>
    </w:pPr>
    <w:rPr>
      <w:rFonts w:ascii="Calibri" w:cs="Calibri" w:eastAsia="Calibri" w:hAnsi="Calibri"/>
      <w:b/>
      <w:bCs/>
      <w:color w:val="0F2A4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4kxvpeqvpezbw503rlyvu" Type="http://schemas.openxmlformats.org/officeDocument/2006/relationships/hyperlink" Target="https://www.moet.gov.ae/en/registering-companies-in-goaml" TargetMode="External"/><Relationship Id="rIdkjcv2jiqglyiacmvfqwj-" Type="http://schemas.openxmlformats.org/officeDocument/2006/relationships/hyperlink" Target="https://taxadepts.com/uae-stringent-aml-enforcement-380m-fines-first-half-of-2025" TargetMode="External"/><Relationship Id="rIdzkl9dbxc_kytiyfcbxgv_" Type="http://schemas.openxmlformats.org/officeDocument/2006/relationships/hyperlink" Target="https://dwfgroup.com/en/news-and-insights/insights/2025/10/uae-law-no-october-2025-on-fighting-financial-crimes" TargetMode="External"/><Relationship Id="rIdjaki1-r4qvca4e1dfiodq" Type="http://schemas.openxmlformats.org/officeDocument/2006/relationships/hyperlink" Target="https://www.crowe.com/ae/news/revised-aml-cft-guidelines-for-dnfbps-2025" TargetMode="External"/><Relationship Id="rIdf3mhshbbn9rbfv12ckgkw" Type="http://schemas.openxmlformats.org/officeDocument/2006/relationships/hyperlink" Target="https://www.moet.gov.ae/en/-/does-your-company-fall-under-the-dnfbp" TargetMode="External"/><Relationship Id="rIdqz_nbj4bfcrqhpuebsjxo" Type="http://schemas.openxmlformats.org/officeDocument/2006/relationships/hyperlink" Target="https://www.khaleejtimes.com/business/tech/uae-tops-global-ai-adoption-rankings-as-workplace-usage-crosses-70" TargetMode="External"/><Relationship Id="rIdialfkamqk9h_yfzqmwq2o" Type="http://schemas.openxmlformats.org/officeDocument/2006/relationships/hyperlink" Target="https://www.mckinsey.com/capabilities/quantumblack/our-insights/the-state-of-ai-in-gcc-countries-in-pursuit-of-scale-and-value" TargetMode="External"/><Relationship Id="rId0fbgdg_8mqbmpifuyluio" Type="http://schemas.openxmlformats.org/officeDocument/2006/relationships/hyperlink" Target="https://magnitt.com/research/FY-2025-State-of-Venture-Capital-of-AI-in-MENA-51029" TargetMode="External"/><Relationship Id="rId2sxwpfw2t_ngxbbvndks9" Type="http://schemas.openxmlformats.org/officeDocument/2006/relationships/hyperlink" Target="https://www.grandviewresearch.com/horizon/outlook/artificial-intelligence-market/uae" TargetMode="External"/><Relationship Id="rIdwlizn4ty99hcmffx1s_rc" Type="http://schemas.openxmlformats.org/officeDocument/2006/relationships/hyperlink" Target="https://www.difc.com/business/establish-a-business/ai-licence" TargetMode="External"/><Relationship Id="rIdmfdttjvucq_c9-1oejcrl" Type="http://schemas.openxmlformats.org/officeDocument/2006/relationships/hyperlink" Target="https://www.thenationalnews.com/future/technology/2025/09/23/abu-dhabis-presight-and-shorooq-launch-100m-ai-fund/" TargetMode="External"/><Relationship Id="rIdqyw_1ihohuq4ge38r-jkb" Type="http://schemas.openxmlformats.org/officeDocument/2006/relationships/hyperlink" Target="https://taxsummaries.pwc.com/united-arab-emirates/corporate/tax-credits-and-incentives" TargetMode="External"/><Relationship Id="rIdjj0ilr53rz3sv4np_gmu_" Type="http://schemas.openxmlformats.org/officeDocument/2006/relationships/hyperlink" Target="https://tax.gov.ae/en/taxes/corporate.tax/corporate.tax.topics/small.business.relief.23.aspx" TargetMode="External"/><Relationship Id="rIdvq6kkjqgyvfxzwhamxqqt" Type="http://schemas.openxmlformats.org/officeDocument/2006/relationships/hyperlink" Target="https://www.morganlewis.com/pubs/2026/06/uae-establishes-federal-authority-for-artificial-intelligence-and-data" TargetMode="External"/><Relationship Id="rIdhu-b1gffnvbwq612tlwrj" Type="http://schemas.openxmlformats.org/officeDocument/2006/relationships/hyperlink" Target="https://www.deloitte.com/middle-east/en/services/tax/perspectives/release-of-uae-einvoicing-legislation.html" TargetMode="External"/><Relationship Id="rId2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Amana — Founding Strategy &amp; Business Plan</dc:title>
  <dc:creator>Fable (acting CTO)</dc:creator>
  <cp:lastModifiedBy>Un-named</cp:lastModifiedBy>
  <cp:revision>1</cp:revision>
  <dcterms:created xsi:type="dcterms:W3CDTF">2026-07-06T09:47:19.311Z</dcterms:created>
  <dcterms:modified xsi:type="dcterms:W3CDTF">2026-07-06T09:47:19.311Z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