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jc w:val="center"/>
      </w:pPr>
      <w:r>
        <w:rPr>
          <w:b/>
          <w:bCs/>
          <w:color w:val="10233B"/>
          <w:sz w:val="74"/>
          <w:szCs w:val="74"/>
        </w:rPr>
        <w:t xml:space="preserve">THE DUBAI GATEWAY</w:t>
      </w:r>
    </w:p>
    <w:p>
      <w:pPr>
        <w:spacing w:before="50"/>
        <w:jc w:val="center"/>
      </w:pPr>
      <w:r>
        <w:rPr>
          <w:b/>
          <w:bCs/>
          <w:color w:val="B8860B"/>
          <w:spacing w:val="40"/>
          <w:sz w:val="22"/>
          <w:szCs w:val="22"/>
        </w:rPr>
        <w:t xml:space="preserve">A NEW BILLION-DOLLAR DIRECTION</w:t>
      </w:r>
    </w:p>
    <w:p>
      <w:pPr>
        <w:spacing w:before="60"/>
        <w:jc w:val="center"/>
      </w:pPr>
      <w:r>
        <w:rPr>
          <w:i/>
          <w:iCs/>
          <w:color w:val="55616E"/>
          <w:sz w:val="16"/>
          <w:szCs w:val="16"/>
        </w:rPr>
        <w:t xml:space="preserve">working name — see naming note</w:t>
      </w:r>
    </w:p>
    <w:p>
      <w:pPr>
        <w:spacing w:after="300"/>
      </w:pPr>
    </w:p>
    <w:p>
      <w:pPr>
        <w:jc w:val="center"/>
      </w:pPr>
      <w:r>
        <w:rPr>
          <w:b/>
          <w:bCs/>
          <w:color w:val="1C6E8C"/>
          <w:sz w:val="34"/>
          <w:szCs w:val="34"/>
        </w:rPr>
        <w:t xml:space="preserve">Venture Research &amp; Recommendation</w:t>
      </w:r>
    </w:p>
    <w:p>
      <w:pPr>
        <w:spacing w:before="60"/>
        <w:jc w:val="center"/>
      </w:pPr>
      <w:r>
        <w:rPr>
          <w:i/>
          <w:iCs/>
          <w:color w:val="55616E"/>
          <w:sz w:val="21"/>
          <w:szCs w:val="21"/>
        </w:rPr>
        <w:t xml:space="preserve">Selling the world's fastest-growing wealth hub — to the world</w:t>
      </w:r>
    </w:p>
    <w:p>
      <w:pPr>
        <w:spacing w:after="440"/>
      </w:pP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tblGrid>
      <w:tr>
        <w:tc>
          <w:tcPr>
            <w:tcW w:type="dxa" w:w="33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9"/>
                <w:szCs w:val="19"/>
              </w:rPr>
              <w:t xml:space="preserve">Prepared for</w:t>
            </w:r>
          </w:p>
        </w:tc>
        <w:tc>
          <w:tcPr>
            <w:tcW w:type="dxa" w:w="33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Vatsal — Founder &amp; CEO</w:t>
            </w:r>
          </w:p>
        </w:tc>
      </w:tr>
      <w:tr>
        <w:tc>
          <w:tcPr>
            <w:tcW w:type="dxa" w:w="33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9"/>
                <w:szCs w:val="19"/>
              </w:rPr>
              <w:t xml:space="preserve">Prepared by</w:t>
            </w:r>
          </w:p>
        </w:tc>
        <w:tc>
          <w:tcPr>
            <w:tcW w:type="dxa" w:w="33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Fable — acting Cofounder &amp; CTO</w:t>
            </w:r>
          </w:p>
        </w:tc>
      </w:tr>
      <w:tr>
        <w:tc>
          <w:tcPr>
            <w:tcW w:type="dxa" w:w="33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9"/>
                <w:szCs w:val="19"/>
              </w:rPr>
              <w:t xml:space="preserve">Basis</w:t>
            </w:r>
          </w:p>
        </w:tc>
        <w:tc>
          <w:tcPr>
            <w:tcW w:type="dxa" w:w="33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~90 sourced searches across 4 research fronts</w:t>
            </w:r>
          </w:p>
        </w:tc>
      </w:tr>
      <w:tr>
        <w:tc>
          <w:tcPr>
            <w:tcW w:type="dxa" w:w="33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9"/>
                <w:szCs w:val="19"/>
              </w:rPr>
              <w:t xml:space="preserve">Date</w:t>
            </w:r>
          </w:p>
        </w:tc>
        <w:tc>
          <w:tcPr>
            <w:tcW w:type="dxa" w:w="33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6 July 2026</w:t>
            </w:r>
          </w:p>
        </w:tc>
      </w:tr>
      <w:tr>
        <w:tc>
          <w:tcPr>
            <w:tcW w:type="dxa" w:w="33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9"/>
                <w:szCs w:val="19"/>
              </w:rPr>
              <w:t xml:space="preserve">Status</w:t>
            </w:r>
          </w:p>
        </w:tc>
        <w:tc>
          <w:tcPr>
            <w:tcW w:type="dxa" w:w="33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Confidential — v1 Draft</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4"/>
      </w:pPr>
      <w:r>
        <w:t xml:space="preserve">The recommendation is to build </w:t>
      </w:r>
      <w:r>
        <w:rPr>
          <w:b/>
          <w:bCs/>
        </w:rPr>
        <w:t xml:space="preserve">The Dubai Gateway</w:t>
      </w:r>
      <w:r>
        <w:t xml:space="preserve"> — a global, software-led platform that helps international investors and entrepreneurs </w:t>
      </w:r>
      <w:r>
        <w:rPr>
          <w:b/>
          <w:bCs/>
        </w:rPr>
        <w:t xml:space="preserve">invest in, and relocate to, Dubai</w:t>
      </w:r>
      <w:r>
        <w:t xml:space="preserve">. We enter through the single highest-margin, easiest-to-sell-cold wedge in the entire market — </w:t>
      </w:r>
      <w:r>
        <w:rPr>
          <w:b/>
          <w:bCs/>
        </w:rPr>
        <w:t xml:space="preserve">international off-plan property</w:t>
      </w:r>
      <w:r>
        <w:t xml:space="preserve"> — then expand into the full “access stack” (golden visa, company setup, mortgages, property management) and, ultimately, wealth and investment products for the same global-citizen customer.</w:t>
      </w:r>
    </w:p>
    <w:p>
      <w:pPr>
        <w:spacing w:after="140" w:line="274"/>
      </w:pPr>
      <w:r>
        <w:t xml:space="preserve">You told me the last idea missed on four things: you doubted the billion-dollar ceiling, it was hard to sell without a network, it felt boring, and others were already doing it. This direction was chosen to beat all four at once.</w:t>
      </w:r>
    </w:p>
    B8860B
    <w:p>
      <w:pPr>
        <w:pStyle w:val="Heading3"/>
      </w:pPr>
      <w:r>
        <w:t xml:space="preserve">The unbeatable wedge math</w:t>
      </w:r>
    </w:p>
    <w:p>
      <w:pPr>
        <w:spacing w:after="140" w:line="274"/>
      </w:pPr>
      <w:r>
        <w:t xml:space="preserve">A foreign buyer purchasing an average AED 2.7M off-plan unit pays </w:t>
      </w:r>
      <w:r>
        <w:rPr>
          <w:b/>
          <w:bCs/>
        </w:rPr>
        <w:t xml:space="preserve">zero</w:t>
      </w:r>
      <w:r>
        <w:t xml:space="preserve"> commission — the developer pays the broker </w:t>
      </w:r>
      <w:r>
        <w:rPr>
          <w:b/>
          <w:bCs/>
        </w:rPr>
        <w:t xml:space="preserve">3–7%</w:t>
      </w:r>
      <w:r>
        <w:t xml:space="preserve"> (AED 100k–160k per deal). Realistic all-in cost to acquire and close one international buyer online is AED 15k–50k. That is a </w:t>
      </w:r>
      <w:r>
        <w:rPr>
          <w:b/>
          <w:bCs/>
        </w:rPr>
        <w:t xml:space="preserve">3–10× gross return on acquisition</w:t>
      </w:r>
      <w:r>
        <w:t xml:space="preserve"> — among the best unit economics of any online business, and the reason a solo founder with no network can win here.</w:t>
      </w:r>
    </w:p>
    <w:p>
      <w:r>
        <w:br w:type="page"/>
      </w:r>
    </w:p>
    <w:p>
      <w:pPr>
        <w:pStyle w:val="Heading1"/>
      </w:pPr>
      <w:r>
        <w:t xml:space="preserve">2. How This Was Chosen</w:t>
      </w:r>
    </w:p>
    <w:p>
      <w:pPr>
        <w:spacing w:after="140" w:line="274"/>
      </w:pPr>
      <w:r>
        <w:t xml:space="preserve">I ran four parallel research fronts (~90 sourced searches): Dubai macro tailwinds and where capital actually flows; fintech/wealth; the “Dubai access” / proptech cluster; and consumer/creator/health/AI. Every candidate was scored against the exact four things you care about, plus feasibility for a solo technical founder on AED 100k–500k.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Your criterion</w:t>
            </w:r>
          </w:p>
        </w:tc>
        <w:tc>
          <w:tcPr>
            <w:tcW w:type="dxa" w:w="676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How I optimized for it</w:t>
            </w:r>
          </w:p>
        </w:tc>
      </w:tr>
      <w:tr>
        <w:tc>
          <w:tcPr>
            <w:tcW w:type="dxa" w:w="2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Big $1B ceiling</w:t>
            </w:r>
          </w:p>
        </w:tc>
        <w:tc>
          <w:tcPr>
            <w:tcW w:type="dxa" w:w="6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Prioritized markets with proven billion-dollar comps or enormous money flows — not hopeful TAM slides.</w:t>
            </w:r>
          </w:p>
        </w:tc>
      </w:tr>
      <w:tr>
        <w:tc>
          <w:tcPr>
            <w:tcW w:type="dxa" w:w="2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Sellable with no network</w:t>
            </w:r>
          </w:p>
        </w:tc>
        <w:tc>
          <w:tcPr>
            <w:tcW w:type="dxa" w:w="6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Favored models where customers are reached online (content/SEO/paid/community), ruling out relationship-led enterprise sales and cold-start two-sided marketplaces.</w:t>
            </w:r>
          </w:p>
        </w:tc>
      </w:tr>
      <w:tr>
        <w:tc>
          <w:tcPr>
            <w:tcW w:type="dxa" w:w="2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Exciting to build</w:t>
            </w:r>
          </w:p>
        </w:tc>
        <w:tc>
          <w:tcPr>
            <w:tcW w:type="dxa" w:w="6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Weighted toward ambitious, high-status, globally-scalable stories over back-office tools.</w:t>
            </w:r>
          </w:p>
        </w:tc>
      </w:tr>
      <w:tr>
        <w:tc>
          <w:tcPr>
            <w:tcW w:type="dxa" w:w="2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Differentiated</w:t>
            </w:r>
          </w:p>
        </w:tc>
        <w:tc>
          <w:tcPr>
            <w:tcW w:type="dxa" w:w="6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Penalized crowded/commoditized lanes (remittances, me-too robo-advisors, thin AI wrappers, generic brokerage).</w:t>
            </w:r>
          </w:p>
        </w:tc>
      </w:tr>
    </w:tbl>
    <w:p>
      <w:r>
        <w:br w:type="page"/>
      </w:r>
    </w:p>
    <w:p>
      <w:pPr>
        <w:pStyle w:val="Heading1"/>
      </w:pPr>
      <w:r>
        <w:t xml:space="preserve">3. The Dubai Wave (Why Now, Why Here)</w:t>
      </w:r>
    </w:p>
    <w:p>
      <w:pPr>
        <w:spacing w:after="140" w:line="274"/>
      </w:pPr>
      <w:r>
        <w:t xml:space="preserve">Dubai is in the middle of a once-in-a-generation capital and people inflow. These are the tailwinds a founder can ride — figures are sourced in the appendix; treat vendor estimates as directional.</w:t>
      </w:r>
    </w:p>
    <w:p>
      <w:pPr>
        <w:pStyle w:val="Heading3"/>
      </w:pPr>
      <w:r>
        <w:t xml:space="preserve">The money and people are arriving faster than anywhere on Earth</w:t>
      </w:r>
    </w:p>
    <w:p>
      <w:pPr>
        <w:pStyle w:val="ListParagraph"/>
        <w:numPr>
          <w:ilvl w:val="0"/>
          <w:numId w:val="2"/>
        </w:numPr>
        <w:spacing w:after="70" w:line="268"/>
      </w:pPr>
      <w:r>
        <w:t xml:space="preserve">Wealth migration #1 globally: </w:t>
      </w:r>
      <w:r>
        <w:t xml:space="preserve">the UAE drew a net ~9,800 millionaires in 2025 (~$63B of wealth) — first in the world, ahead of the US. Dubai now holds ~81,000 millionaires, up ~102% in a decade.</w:t>
      </w:r>
    </w:p>
    <w:p>
      <w:pPr>
        <w:pStyle w:val="ListParagraph"/>
        <w:numPr>
          <w:ilvl w:val="0"/>
          <w:numId w:val="2"/>
        </w:numPr>
        <w:spacing w:after="70" w:line="268"/>
      </w:pPr>
      <w:r>
        <w:t xml:space="preserve">Real estate at record highs: </w:t>
      </w:r>
      <w:r>
        <w:t xml:space="preserve">AED 917B ($250B) across 270,000+ transactions in 2025 (+20% YoY), a fifth straight record year.</w:t>
      </w:r>
    </w:p>
    <w:p>
      <w:pPr>
        <w:pStyle w:val="ListParagraph"/>
        <w:numPr>
          <w:ilvl w:val="0"/>
          <w:numId w:val="2"/>
        </w:numPr>
        <w:spacing w:after="70" w:line="268"/>
      </w:pPr>
      <w:r>
        <w:t xml:space="preserve">Foreign-money-driven: </w:t>
      </w:r>
      <w:r>
        <w:t xml:space="preserve">foreign buyers are 40%+ of ownership and ~65% of transactions; international buyers alone put in AED 228B in H1 2025. Indians, British, Chinese, Saudis and Russians lead.</w:t>
      </w:r>
    </w:p>
    <w:p>
      <w:pPr>
        <w:pStyle w:val="ListParagraph"/>
        <w:numPr>
          <w:ilvl w:val="0"/>
          <w:numId w:val="2"/>
        </w:numPr>
        <w:spacing w:after="70" w:line="268"/>
      </w:pPr>
      <w:r>
        <w:t xml:space="preserve">Off-plan boom: </w:t>
      </w:r>
      <w:r>
        <w:t xml:space="preserve">~65–70% of deals are off-plan — ~134,600 units worth ~AED 293B in 2025 — the exact segment where developers pay the richest broker commissions.</w:t>
      </w:r>
    </w:p>
    <w:p>
      <w:pPr>
        <w:pStyle w:val="ListParagraph"/>
        <w:numPr>
          <w:ilvl w:val="0"/>
          <w:numId w:val="2"/>
        </w:numPr>
        <w:spacing w:after="70" w:line="268"/>
      </w:pPr>
      <w:r>
        <w:t xml:space="preserve">Relocation surge: </w:t>
      </w:r>
      <w:r>
        <w:t xml:space="preserve">~158,000 golden visas issued (2023, and doubling); population past 4M heading to 5M by 2030; 25,000+ digital-nomad visas; 100% foreign business ownership; zero income 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F0F4" w:sz="2"/>
              <w:left w:val="single" w:color="1C6E8C" w:sz="24"/>
              <w:bottom w:val="single" w:color="E9F0F4" w:sz="2"/>
              <w:right w:val="single" w:color="E9F0F4" w:sz="2"/>
            </w:tcBorders>
            <w:shd w:fill="E9F0F4" w:val="clear"/>
            <w:tcMar>
              <w:top w:type="dxa" w:w="130"/>
              <w:left w:type="dxa" w:w="180"/>
              <w:bottom w:type="dxa" w:w="130"/>
              <w:right w:type="dxa" w:w="160"/>
            </w:tcMar>
          </w:tcPr>
          <w:p>
            <w:pPr>
              <w:spacing w:after="60"/>
            </w:pPr>
            <w:r>
              <w:rPr>
                <w:b/>
                <w:bCs/>
                <w:color w:val="10233B"/>
                <w:sz w:val="21"/>
                <w:szCs w:val="21"/>
              </w:rPr>
              <w:t xml:space="preserve">The one-sentence market read</w:t>
            </w:r>
          </w:p>
          <w:p>
            <w:pPr>
              <w:spacing w:after="50" w:line="264"/>
            </w:pPr>
            <w:r>
              <w:rPr>
                <w:color w:val="222222"/>
                <w:sz w:val="20"/>
                <w:szCs w:val="20"/>
              </w:rPr>
              <w:t xml:space="preserve">Millions of the world's wealthiest and most mobile people are trying to move money and life into Dubai — and they start the journey online, from abroad, months before they arrive. Nobody has built the global-first digital front door for them.</w:t>
            </w:r>
          </w:p>
        </w:tc>
      </w:tr>
    </w:tbl>
    <w:p>
      <w:r>
        <w:br w:type="page"/>
      </w:r>
    </w:p>
    <w:p>
      <w:pPr>
        <w:pStyle w:val="Heading1"/>
      </w:pPr>
      <w:r>
        <w:t xml:space="preserve">4. The Opportunity Landscape &amp; Scorecard</w:t>
      </w:r>
    </w:p>
    <w:p>
      <w:pPr>
        <w:spacing w:after="140" w:line="274"/>
      </w:pPr>
      <w:r>
        <w:t xml:space="preserve">Seven concrete directions survived the research. Scored 1 (weak) to 5 (strong) on the five axes that matter for you; final column is the total out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020"/>
        <w:gridCol w:w="1020"/>
        <w:gridCol w:w="1020"/>
        <w:gridCol w:w="1020"/>
        <w:gridCol w:w="1020"/>
        <w:gridCol w:w="1000"/>
      </w:tblGrid>
      <w:tr>
        <w:trPr>
          <w:tblHeader/>
        </w:trPr>
        <w:tc>
          <w:tcPr>
            <w:tcW w:type="dxa" w:w="326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8"/>
                <w:szCs w:val="18"/>
              </w:rPr>
              <w:t xml:space="preserve">Direction</w:t>
            </w:r>
          </w:p>
        </w:tc>
        <w:tc>
          <w:tcPr>
            <w:tcW w:type="dxa" w:w="102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6"/>
                <w:szCs w:val="16"/>
              </w:rPr>
              <w:t xml:space="preserve">$1B</w:t>
            </w:r>
          </w:p>
          <w:p>
            <w:pPr>
              <w:spacing w:after="0" w:line="250"/>
              <w:jc w:val="center"/>
            </w:pPr>
            <w:r>
              <w:rPr>
                <w:b/>
                <w:bCs/>
                <w:color w:val="FFFFFF"/>
                <w:sz w:val="16"/>
                <w:szCs w:val="16"/>
              </w:rPr>
              <w:t xml:space="preserve">ceiling</w:t>
            </w:r>
          </w:p>
        </w:tc>
        <w:tc>
          <w:tcPr>
            <w:tcW w:type="dxa" w:w="102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6"/>
                <w:szCs w:val="16"/>
              </w:rPr>
              <w:t xml:space="preserve">Sell w/o</w:t>
            </w:r>
          </w:p>
          <w:p>
            <w:pPr>
              <w:spacing w:after="0" w:line="250"/>
              <w:jc w:val="center"/>
            </w:pPr>
            <w:r>
              <w:rPr>
                <w:b/>
                <w:bCs/>
                <w:color w:val="FFFFFF"/>
                <w:sz w:val="16"/>
                <w:szCs w:val="16"/>
              </w:rPr>
              <w:t xml:space="preserve">network</w:t>
            </w:r>
          </w:p>
        </w:tc>
        <w:tc>
          <w:tcPr>
            <w:tcW w:type="dxa" w:w="102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6"/>
                <w:szCs w:val="16"/>
              </w:rPr>
              <w:t xml:space="preserve">Excite +</w:t>
            </w:r>
          </w:p>
          <w:p>
            <w:pPr>
              <w:spacing w:after="0" w:line="250"/>
              <w:jc w:val="center"/>
            </w:pPr>
            <w:r>
              <w:rPr>
                <w:b/>
                <w:bCs/>
                <w:color w:val="FFFFFF"/>
                <w:sz w:val="16"/>
                <w:szCs w:val="16"/>
              </w:rPr>
              <w:t xml:space="preserve">differ.</w:t>
            </w:r>
          </w:p>
        </w:tc>
        <w:tc>
          <w:tcPr>
            <w:tcW w:type="dxa" w:w="102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6"/>
                <w:szCs w:val="16"/>
              </w:rPr>
              <w:t xml:space="preserve">Feasible</w:t>
            </w:r>
          </w:p>
          <w:p>
            <w:pPr>
              <w:spacing w:after="0" w:line="250"/>
              <w:jc w:val="center"/>
            </w:pPr>
            <w:r>
              <w:rPr>
                <w:b/>
                <w:bCs/>
                <w:color w:val="FFFFFF"/>
                <w:sz w:val="16"/>
                <w:szCs w:val="16"/>
              </w:rPr>
              <w:t xml:space="preserve">(solo)</w:t>
            </w:r>
          </w:p>
        </w:tc>
        <w:tc>
          <w:tcPr>
            <w:tcW w:type="dxa" w:w="102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center"/>
            </w:pPr>
            <w:r>
              <w:rPr>
                <w:b/>
                <w:bCs/>
                <w:color w:val="FFFFFF"/>
                <w:sz w:val="16"/>
                <w:szCs w:val="16"/>
              </w:rPr>
              <w:t xml:space="preserve">Dubai</w:t>
            </w:r>
          </w:p>
          <w:p>
            <w:pPr>
              <w:spacing w:after="0" w:line="250"/>
              <w:jc w:val="center"/>
            </w:pPr>
            <w:r>
              <w:rPr>
                <w:b/>
                <w:bCs/>
                <w:color w:val="FFFFFF"/>
                <w:sz w:val="16"/>
                <w:szCs w:val="16"/>
              </w:rPr>
              <w:t xml:space="preserve">edge</w:t>
            </w:r>
          </w:p>
        </w:tc>
        <w:tc>
          <w:tcPr>
            <w:tcW w:type="dxa" w:w="1000"/>
            <w:tcBorders>
              <w:top w:val="single" w:color="D5DCE3" w:sz="1"/>
              <w:left w:val="single" w:color="D5DCE3" w:sz="1"/>
              <w:bottom w:val="single" w:color="D5DCE3" w:sz="1"/>
              <w:right w:val="single" w:color="D5DCE3" w:sz="1"/>
            </w:tcBorders>
            <w:shd w:fill="B8860B" w:val="clear"/>
            <w:tcMar>
              <w:top w:type="dxa" w:w="70"/>
              <w:left w:type="dxa" w:w="110"/>
              <w:bottom w:type="dxa" w:w="70"/>
              <w:right w:type="dxa" w:w="110"/>
            </w:tcMar>
            <w:vAlign w:val="center"/>
          </w:tcPr>
          <w:p>
            <w:pPr>
              <w:spacing w:after="0" w:line="250"/>
              <w:jc w:val="center"/>
            </w:pPr>
            <w:r>
              <w:rPr>
                <w:b/>
                <w:bCs/>
                <w:color w:val="FFFFFF"/>
                <w:sz w:val="18"/>
                <w:szCs w:val="18"/>
              </w:rPr>
              <w:t xml:space="preserve">Total</w:t>
            </w:r>
          </w:p>
        </w:tc>
      </w:tr>
      <w:tr>
        <w:tc>
          <w:tcPr>
            <w:tcW w:type="dxa" w:w="326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bCs/>
                <w:color w:val="222222"/>
                <w:sz w:val="18"/>
                <w:szCs w:val="18"/>
              </w:rPr>
              <w:t xml:space="preserve">1. The Dubai Gateway (intl property → access → wealth)</w:t>
            </w:r>
          </w:p>
        </w:tc>
        <w:tc>
          <w:tcPr>
            <w:tcW w:type="dxa" w:w="102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2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2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00"/>
            <w:tcBorders>
              <w:top w:val="single" w:color="D5DCE3" w:sz="1"/>
              <w:left w:val="single" w:color="D5DCE3" w:sz="1"/>
              <w:bottom w:val="single" w:color="D5DCE3" w:sz="1"/>
              <w:right w:val="single" w:color="D5DCE3" w:sz="1"/>
            </w:tcBorders>
            <w:shd w:fill="B8860B" w:val="clear"/>
            <w:tcMar>
              <w:top w:type="dxa" w:w="70"/>
              <w:left w:type="dxa" w:w="110"/>
              <w:bottom w:type="dxa" w:w="70"/>
              <w:right w:type="dxa" w:w="110"/>
            </w:tcMar>
            <w:vAlign w:val="center"/>
          </w:tcPr>
          <w:p>
            <w:pPr>
              <w:spacing w:after="0" w:line="250"/>
              <w:jc w:val="center"/>
            </w:pPr>
            <w:r>
              <w:rPr>
                <w:b/>
                <w:bCs/>
                <w:color w:val="FFFFFF"/>
                <w:sz w:val="19"/>
                <w:szCs w:val="19"/>
              </w:rPr>
              <w:t xml:space="preserve">23</w:t>
            </w:r>
          </w:p>
        </w:tc>
      </w:tr>
      <w:tr>
        <w:tc>
          <w:tcPr>
            <w:tcW w:type="dxa" w:w="32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8"/>
                <w:szCs w:val="18"/>
              </w:rPr>
              <w:t xml:space="preserve">2. Wealth OS for global citizens / new arrivals</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bCs/>
                <w:color w:val="10233B"/>
                <w:sz w:val="19"/>
                <w:szCs w:val="19"/>
              </w:rPr>
              <w:t xml:space="preserve">21</w:t>
            </w:r>
          </w:p>
        </w:tc>
      </w:tr>
      <w:tr>
        <w:tc>
          <w:tcPr>
            <w:tcW w:type="dxa" w:w="32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8"/>
                <w:szCs w:val="18"/>
              </w:rPr>
              <w:t xml:space="preserve">3. AI-native Islamic lifestyle app (post-Muslim-Pro)</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bCs/>
                <w:color w:val="10233B"/>
                <w:sz w:val="19"/>
                <w:szCs w:val="19"/>
              </w:rPr>
              <w:t xml:space="preserve">20</w:t>
            </w:r>
          </w:p>
        </w:tc>
      </w:tr>
      <w:tr>
        <w:tc>
          <w:tcPr>
            <w:tcW w:type="dxa" w:w="32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8"/>
                <w:szCs w:val="18"/>
              </w:rPr>
              <w:t xml:space="preserve">4. AI bloodwork / longevity utility</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bCs/>
                <w:color w:val="10233B"/>
                <w:sz w:val="19"/>
                <w:szCs w:val="19"/>
              </w:rPr>
              <w:t xml:space="preserve">20</w:t>
            </w:r>
          </w:p>
        </w:tc>
      </w:tr>
      <w:tr>
        <w:tc>
          <w:tcPr>
            <w:tcW w:type="dxa" w:w="32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8"/>
                <w:szCs w:val="18"/>
              </w:rPr>
              <w:t xml:space="preserve">5. Arabic-first AI UGC ad studio</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bCs/>
                <w:color w:val="10233B"/>
                <w:sz w:val="19"/>
                <w:szCs w:val="19"/>
              </w:rPr>
              <w:t xml:space="preserve">17</w:t>
            </w:r>
          </w:p>
        </w:tc>
      </w:tr>
      <w:tr>
        <w:tc>
          <w:tcPr>
            <w:tcW w:type="dxa" w:w="32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8"/>
                <w:szCs w:val="18"/>
              </w:rPr>
              <w:t xml:space="preserve">6. Tokenized real-estate infrastructure</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2</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2</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5</w:t>
            </w:r>
          </w:p>
        </w:tc>
        <w:tc>
          <w:tcPr>
            <w:tcW w:type="dxa" w:w="10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bCs/>
                <w:color w:val="10233B"/>
                <w:sz w:val="19"/>
                <w:szCs w:val="19"/>
              </w:rPr>
              <w:t xml:space="preserve">17</w:t>
            </w:r>
          </w:p>
        </w:tc>
      </w:tr>
      <w:tr>
        <w:tc>
          <w:tcPr>
            <w:tcW w:type="dxa" w:w="32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8"/>
                <w:szCs w:val="18"/>
              </w:rPr>
              <w:t xml:space="preserve">7. Consumer remittance / me-too robo-advisor</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2</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2</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3</w:t>
            </w:r>
          </w:p>
        </w:tc>
        <w:tc>
          <w:tcPr>
            <w:tcW w:type="dxa" w:w="102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center"/>
            </w:pPr>
            <w:r>
              <w:rPr>
                <w:b w:val="false"/>
                <w:bCs w:val="false"/>
                <w:color w:val="222222"/>
                <w:sz w:val="19"/>
                <w:szCs w:val="19"/>
              </w:rPr>
              <w:t xml:space="preserve">4</w:t>
            </w:r>
          </w:p>
        </w:tc>
        <w:tc>
          <w:tcPr>
            <w:tcW w:type="dxa" w:w="1000"/>
            <w:tcBorders>
              <w:top w:val="single" w:color="D5DCE3" w:sz="1"/>
              <w:left w:val="single" w:color="D5DCE3" w:sz="1"/>
              <w:bottom w:val="single" w:color="D5DCE3" w:sz="1"/>
              <w:right w:val="single" w:color="D5DCE3" w:sz="1"/>
            </w:tcBorders>
            <w:shd w:fill="E9F0F4" w:val="clear"/>
            <w:tcMar>
              <w:top w:type="dxa" w:w="70"/>
              <w:left w:type="dxa" w:w="110"/>
              <w:bottom w:type="dxa" w:w="70"/>
              <w:right w:type="dxa" w:w="110"/>
            </w:tcMar>
            <w:vAlign w:val="center"/>
          </w:tcPr>
          <w:p>
            <w:pPr>
              <w:spacing w:after="0" w:line="250"/>
              <w:jc w:val="center"/>
            </w:pPr>
            <w:r>
              <w:rPr>
                <w:b/>
                <w:bCs/>
                <w:color w:val="10233B"/>
                <w:sz w:val="19"/>
                <w:szCs w:val="19"/>
              </w:rPr>
              <w:t xml:space="preserve">14</w:t>
            </w:r>
          </w:p>
        </w:tc>
      </w:tr>
    </w:tbl>
    <w:p>
      <w:pPr>
        <w:spacing w:after="70"/>
      </w:pPr>
    </w:p>
    <w:p>
      <w:pPr>
        <w:spacing w:after="140" w:line="274"/>
      </w:pPr>
      <w:r>
        <w:rPr>
          <w:b/>
          <w:bCs/>
          <w:color w:val="10233B"/>
        </w:rPr>
        <w:t xml:space="preserve">Winner: #1, The Dubai Gateway</w:t>
      </w:r>
      <w:r>
        <w:t xml:space="preserve">. It is the only direction that scores 4–5 on every axis. Crucially, it wins the two you weighted most: it has the </w:t>
      </w:r>
      <w:r>
        <w:rPr>
          <w:b/>
          <w:bCs/>
        </w:rPr>
        <w:t xml:space="preserve">clearest, best-evidenced path to $1B</w:t>
      </w:r>
      <w:r>
        <w:t xml:space="preserve"> (real comps, not a TAM guess), and it is the </w:t>
      </w:r>
      <w:r>
        <w:rPr>
          <w:b/>
          <w:bCs/>
        </w:rPr>
        <w:t xml:space="preserve">easiest to sell cold</w:t>
      </w:r>
      <w:r>
        <w:t xml:space="preserve"> (global online demand + deal economics good enough to buy traffic profitably). #2 (a wealth platform for the same customers) is the natural expansion, not a competitor.</w:t>
      </w:r>
    </w:p>
    <w:p>
      <w:r>
        <w:br w:type="page"/>
      </w:r>
    </w:p>
    <w:p>
      <w:pPr>
        <w:pStyle w:val="Heading1"/>
      </w:pPr>
      <w:r>
        <w:t xml:space="preserve">5. The Recommendation: The Dubai Gateway</w:t>
      </w:r>
    </w:p>
    <w:p>
      <w:pPr>
        <w:spacing w:after="140" w:line="274"/>
      </w:pPr>
      <w:r>
        <w:t xml:space="preserve">A global, English-first, software-led platform that turns international demand for Dubai into closed transactions and long-term relationships. The customer never has to be in Dubai — or know anyone in Dubai — to invest and relocate through us.</w:t>
      </w:r>
    </w:p>
    <w:p>
      <w:pPr>
        <w:pStyle w:val="Heading3"/>
      </w:pPr>
      <w:r>
        <w:t xml:space="preserve">5.1 The layered vision (wedge → platform → franchise)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Layer</w:t>
            </w:r>
          </w:p>
        </w:tc>
        <w:tc>
          <w:tcPr>
            <w:tcW w:type="dxa" w:w="376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What it is</w:t>
            </w:r>
          </w:p>
        </w:tc>
        <w:tc>
          <w:tcPr>
            <w:tcW w:type="dxa" w:w="400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Why it matters</w:t>
            </w:r>
          </w:p>
        </w:tc>
      </w:tr>
      <w:tr>
        <w:tc>
          <w:tcPr>
            <w:tcW w:type="dxa" w:w="160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bCs/>
                <w:color w:val="222222"/>
                <w:sz w:val="19"/>
                <w:szCs w:val="19"/>
              </w:rPr>
              <w:t xml:space="preserve">Wedge</w:t>
            </w:r>
          </w:p>
        </w:tc>
        <w:tc>
          <w:tcPr>
            <w:tcW w:type="dxa" w:w="376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Online-native brokerage for international off-plan buyers, acquired 100% via global content + paid funnels</w:t>
            </w:r>
          </w:p>
        </w:tc>
        <w:tc>
          <w:tcPr>
            <w:tcW w:type="dxa" w:w="400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Unbeatable unit economics (AED 100k+/deal, buyer pays 0); fastest cash; builds the audience + data</w:t>
            </w:r>
          </w:p>
        </w:tc>
      </w:tr>
      <w:tr>
        <w:tc>
          <w:tcPr>
            <w:tcW w:type="dxa" w:w="1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Access stack</w:t>
            </w:r>
          </w:p>
        </w:tc>
        <w:tc>
          <w:tcPr>
            <w:tcW w:type="dxa" w:w="3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Attach golden visa, company setup, mortgage (partner), and recurring property management to every buyer</w:t>
            </w:r>
          </w:p>
        </w:tc>
        <w:tc>
          <w:tcPr>
            <w:tcW w:type="dxa" w:w="40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Higher margin, recurring revenue, retention — turns lumpy commissions into a durable business</w:t>
            </w:r>
          </w:p>
        </w:tc>
      </w:tr>
      <w:tr>
        <w:tc>
          <w:tcPr>
            <w:tcW w:type="dxa" w:w="1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Wealth OS</w:t>
            </w:r>
          </w:p>
        </w:tc>
        <w:tc>
          <w:tcPr>
            <w:tcW w:type="dxa" w:w="3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Managed Dubai-property portfolios, fractional/tokenized access (white-label), then multi-currency wealth for global citizens</w:t>
            </w:r>
          </w:p>
        </w:tc>
        <w:tc>
          <w:tcPr>
            <w:tcW w:type="dxa" w:w="40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AUM economics + the convergence with direction #2; this is where $1B becomes visible</w:t>
            </w:r>
          </w:p>
        </w:tc>
      </w:tr>
      <w:tr>
        <w:tc>
          <w:tcPr>
            <w:tcW w:type="dxa" w:w="1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Franchise</w:t>
            </w:r>
          </w:p>
        </w:tc>
        <w:tc>
          <w:tcPr>
            <w:tcW w:type="dxa" w:w="3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Replicate the “invest + relocate” playbook for other magnet hubs (Riyadh, etc.)</w:t>
            </w:r>
          </w:p>
        </w:tc>
        <w:tc>
          <w:tcPr>
            <w:tcW w:type="dxa" w:w="40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Multiplies the TAM beyond Dubai once the engine is proven</w:t>
            </w:r>
          </w:p>
        </w:tc>
      </w:tr>
    </w:tbl>
    <w:p>
      <w:pPr>
        <w:spacing w:after="50"/>
      </w:pPr>
    </w:p>
    <w:p>
      <w:pPr>
        <w:pStyle w:val="Heading3"/>
      </w:pPr>
      <w:r>
        <w:t xml:space="preserve">5.2 Who we sell to</w:t>
      </w:r>
    </w:p>
    <w:p>
      <w:pPr>
        <w:spacing w:after="140" w:line="274"/>
      </w:pPr>
      <w:r>
        <w:rPr>
          <w:b/>
          <w:bCs/>
        </w:rPr>
        <w:t xml:space="preserve">Primary: </w:t>
      </w:r>
      <w:r>
        <w:t xml:space="preserve">affluent international investors and relocating entrepreneurs — Indian, British, Chinese, Russian, European, and GCC buyers with AED 1–5M to deploy, who want Dubai yield, a second home, a golden visa, or a tax-efficient base. They are reachable by name of nationality and intent through search and social — no local network required.</w:t>
      </w:r>
    </w:p>
    <w:p>
      <w:pPr>
        <w:spacing w:after="140" w:line="274"/>
      </w:pPr>
      <w:r>
        <w:rPr>
          <w:b/>
          <w:bCs/>
        </w:rPr>
        <w:t xml:space="preserve">Why they're perfect for a no-network founder: </w:t>
      </w:r>
      <w:r>
        <w:t xml:space="preserve">they self-identify online (“buy property in Dubai from India”, “Dubai golden visa cost”, “move business to Dubai”), they research for months, and they are used to buying remotely with digital contracts and virtual tours. You meet high-intent demand — you don't manufacture it.</w:t>
      </w:r>
    </w:p>
    <w:p>
      <w:pPr>
        <w:pStyle w:val="Heading3"/>
      </w:pPr>
      <w:r>
        <w:t xml:space="preserve">5.3 The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Revenue line</w:t>
            </w:r>
          </w:p>
        </w:tc>
        <w:tc>
          <w:tcPr>
            <w:tcW w:type="dxa" w:w="676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How it works</w:t>
            </w:r>
          </w:p>
        </w:tc>
      </w:tr>
      <w:tr>
        <w:tc>
          <w:tcPr>
            <w:tcW w:type="dxa" w:w="2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Off-plan commission</w:t>
            </w:r>
          </w:p>
        </w:tc>
        <w:tc>
          <w:tcPr>
            <w:tcW w:type="dxa" w:w="6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Developer pays 3–7% of unit price per closed buyer (AED 100k–160k on an avg AED 2.7M unit). The wedge and the cash engine.</w:t>
            </w:r>
          </w:p>
        </w:tc>
      </w:tr>
      <w:tr>
        <w:tc>
          <w:tcPr>
            <w:tcW w:type="dxa" w:w="2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Relocation attach</w:t>
            </w:r>
          </w:p>
        </w:tc>
        <w:tc>
          <w:tcPr>
            <w:tcW w:type="dxa" w:w="6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Golden-visa processing, company setup, mortgage referral (huspy-style) — bundled with the purchase, higher conversion.</w:t>
            </w:r>
          </w:p>
        </w:tc>
      </w:tr>
      <w:tr>
        <w:tc>
          <w:tcPr>
            <w:tcW w:type="dxa" w:w="2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Property management</w:t>
            </w:r>
          </w:p>
        </w:tc>
        <w:tc>
          <w:tcPr>
            <w:tcW w:type="dxa" w:w="6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Recurring 5–8% of rent for managing the units we sold to absentee overseas owners — sticky, compounding ARR.</w:t>
            </w:r>
          </w:p>
        </w:tc>
      </w:tr>
      <w:tr>
        <w:tc>
          <w:tcPr>
            <w:tcW w:type="dxa" w:w="2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Investment products</w:t>
            </w:r>
          </w:p>
        </w:tc>
        <w:tc>
          <w:tcPr>
            <w:tcW w:type="dxa" w:w="6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Later: managed Dubai-property portfolios + white-label fractional/tokenized access — fee/AUM economics.</w:t>
            </w:r>
          </w:p>
        </w:tc>
      </w:tr>
    </w:tbl>
    <w:p>
      <w:pPr>
        <w:spacing w:after="50"/>
      </w:pPr>
    </w:p>
    <w:p>
      <w:pPr>
        <w:pStyle w:val="Heading3"/>
      </w:pPr>
      <w:r>
        <w:t xml:space="preserve">5.4 Unit economics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Metric</w:t>
            </w:r>
          </w:p>
        </w:tc>
        <w:tc>
          <w:tcPr>
            <w:tcW w:type="dxa" w:w="376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Value / assumption</w:t>
            </w:r>
          </w:p>
        </w:tc>
      </w:tr>
      <w:tr>
        <w:tc>
          <w:tcPr>
            <w:tcW w:type="dxa" w:w="5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Avg off-plan ticket</w:t>
            </w:r>
          </w:p>
        </w:tc>
        <w:tc>
          <w:tcPr>
            <w:tcW w:type="dxa" w:w="3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AED 2.7M</w:t>
            </w:r>
          </w:p>
        </w:tc>
      </w:tr>
      <w:tr>
        <w:tc>
          <w:tcPr>
            <w:tcW w:type="dxa" w:w="5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Developer commission (buyer pays 0)</w:t>
            </w:r>
          </w:p>
        </w:tc>
        <w:tc>
          <w:tcPr>
            <w:tcW w:type="dxa" w:w="3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~5% = AED 135,000 / deal</w:t>
            </w:r>
          </w:p>
        </w:tc>
      </w:tr>
      <w:tr>
        <w:tc>
          <w:tcPr>
            <w:tcW w:type="dxa" w:w="5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Blended cost to acquire + close one intl buyer</w:t>
            </w:r>
          </w:p>
        </w:tc>
        <w:tc>
          <w:tcPr>
            <w:tcW w:type="dxa" w:w="3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AED 15,000–50,000</w:t>
            </w:r>
          </w:p>
        </w:tc>
      </w:tr>
      <w:tr>
        <w:tc>
          <w:tcPr>
            <w:tcW w:type="dxa" w:w="5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Gross return on acquisition</w:t>
            </w:r>
          </w:p>
        </w:tc>
        <w:tc>
          <w:tcPr>
            <w:tcW w:type="dxa" w:w="3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~3–10×</w:t>
            </w:r>
          </w:p>
        </w:tc>
      </w:tr>
      <w:tr>
        <w:tc>
          <w:tcPr>
            <w:tcW w:type="dxa" w:w="56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Illustrative: 200 closed deals in year 2</w:t>
            </w:r>
          </w:p>
        </w:tc>
        <w:tc>
          <w:tcPr>
            <w:tcW w:type="dxa" w:w="37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~AED 27M commission revenue</w:t>
            </w:r>
          </w:p>
        </w:tc>
      </w:tr>
      <w:tr>
        <w:tc>
          <w:tcPr>
            <w:tcW w:type="dxa" w:w="56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Off-plan commission pool (whole market/yr)</w:t>
            </w:r>
          </w:p>
        </w:tc>
        <w:tc>
          <w:tcPr>
            <w:tcW w:type="dxa" w:w="37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~AED 14–20B (capturing 2–3% = AED 400–600M)</w:t>
            </w:r>
          </w:p>
        </w:tc>
      </w:tr>
    </w:tbl>
    <w:p>
      <w:pPr>
        <w:spacing w:after="46"/>
      </w:pPr>
    </w:p>
    <w:p>
      <w:pPr>
        <w:spacing w:after="140" w:line="274"/>
      </w:pPr>
      <w:r>
        <w:rPr>
          <w:b/>
          <w:bCs/>
        </w:rPr>
        <w:t xml:space="preserve">The point: </w:t>
      </w:r>
      <w:r>
        <w:t xml:space="preserve">because each customer is worth six figures, paid acquisition is not just viable — it's a profit machine. That is the exact opposite of a consumer app praying for a viral loop, and it is why “no network” stops being a handicap.</w:t>
      </w:r>
    </w:p>
    <w:p>
      <w:r>
        <w:br w:type="page"/>
      </w:r>
    </w:p>
    <w:p>
      <w:pPr>
        <w:pStyle w:val="Heading1"/>
      </w:pPr>
      <w:r>
        <w:t xml:space="preserve">6. Go-To-Market Without a Network</w:t>
      </w:r>
    </w:p>
    <w:p>
      <w:pPr>
        <w:spacing w:after="140" w:line="274"/>
      </w:pPr>
      <w:r>
        <w:t xml:space="preserve">The whole reason this direction was chosen: a technical founder can build the customer-acquisition machine, and the customers are global and online.</w:t>
      </w:r>
    </w:p>
    <w:p>
      <w:pPr>
        <w:pStyle w:val="ListParagraph"/>
        <w:numPr>
          <w:ilvl w:val="0"/>
          <w:numId w:val="3"/>
        </w:numPr>
        <w:spacing w:after="70" w:line="268"/>
      </w:pPr>
      <w:r>
        <w:t xml:space="preserve">Own the intent online. SEO + YouTube + short-form content for every high-intent query and nationality: “buy Dubai property from [country]”, “Dubai golden visa”, “best off-plan ROI”. This compounds and is where incumbents are weakest.</w:t>
      </w:r>
    </w:p>
    <w:p>
      <w:pPr>
        <w:pStyle w:val="ListParagraph"/>
        <w:numPr>
          <w:ilvl w:val="0"/>
          <w:numId w:val="3"/>
        </w:numPr>
        <w:spacing w:after="70" w:line="268"/>
      </w:pPr>
      <w:r>
        <w:t xml:space="preserve">Build tools that capture leads. Free, genuinely useful software — yield/ROI calculators, golden-visa eligibility checker, off-plan payment-plan comparators, a “buy-remotely” dashboard. A technical founder's edge; each tool is a lead magnet.</w:t>
      </w:r>
    </w:p>
    <w:p>
      <w:pPr>
        <w:pStyle w:val="ListParagraph"/>
        <w:numPr>
          <w:ilvl w:val="0"/>
          <w:numId w:val="3"/>
        </w:numPr>
        <w:spacing w:after="70" w:line="268"/>
      </w:pPr>
      <w:r>
        <w:t xml:space="preserve">Run profitable paid funnels. Because a deal pays AED 100k+, you can buy high-intent search/social traffic at AED 150–600 per lead and still win handsomely. Layer WhatsApp for the relationship (the Gulf norm).</w:t>
      </w:r>
    </w:p>
    <w:p>
      <w:pPr>
        <w:pStyle w:val="ListParagraph"/>
        <w:numPr>
          <w:ilvl w:val="0"/>
          <w:numId w:val="3"/>
        </w:numPr>
        <w:spacing w:after="70" w:line="268"/>
      </w:pPr>
      <w:r>
        <w:t xml:space="preserve">Localize by nationality. Dedicated Hindi, Russian, Chinese, Arabic and English funnels + creators — the diaspora communities are large, online, and under-served by English-only incumbents.</w:t>
      </w:r>
    </w:p>
    <w:p>
      <w:pPr>
        <w:pStyle w:val="ListParagraph"/>
        <w:numPr>
          <w:ilvl w:val="0"/>
          <w:numId w:val="3"/>
        </w:numPr>
        <w:spacing w:after="70" w:line="268"/>
      </w:pPr>
      <w:r>
        <w:t xml:space="preserve">Secure developer inventory + commissions. Sign agency agreements with major developers (Emaar, DAMAC, Sobha, Binghatti, etc.) so you have product and get paid — this is the supply side, and it's a warm B2B ask because you bring them foreign buyers.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F0F4" w:sz="2"/>
              <w:left w:val="single" w:color="1C6E8C" w:sz="24"/>
              <w:bottom w:val="single" w:color="E9F0F4" w:sz="2"/>
              <w:right w:val="single" w:color="E9F0F4" w:sz="2"/>
            </w:tcBorders>
            <w:shd w:fill="E9F0F4" w:val="clear"/>
            <w:tcMar>
              <w:top w:type="dxa" w:w="130"/>
              <w:left w:type="dxa" w:w="180"/>
              <w:bottom w:type="dxa" w:w="130"/>
              <w:right w:type="dxa" w:w="160"/>
            </w:tcMar>
          </w:tcPr>
          <w:p>
            <w:pPr>
              <w:spacing w:after="60"/>
            </w:pPr>
            <w:r>
              <w:rPr>
                <w:b/>
                <w:bCs/>
                <w:color w:val="10233B"/>
                <w:sz w:val="21"/>
                <w:szCs w:val="21"/>
              </w:rPr>
              <w:t xml:space="preserve">The founder's unfair advantage</w:t>
            </w:r>
          </w:p>
          <w:p>
            <w:pPr>
              <w:spacing w:after="50" w:line="264"/>
            </w:pPr>
            <w:r>
              <w:rPr>
                <w:color w:val="222222"/>
                <w:sz w:val="20"/>
                <w:szCs w:val="20"/>
              </w:rPr>
              <w:t xml:space="preserve">Incumbent Dubai brokers are local, relationship-led, roadshow-based and software-thin. You are the opposite: a global, content-led, software-first brand that meets a worldwide audience where they already are. You don't need to know anyone in Dubai — you need to out-build and out-rank everyone for the world's attention.</w:t>
            </w:r>
          </w:p>
        </w:tc>
      </w:tr>
    </w:tbl>
    <w:p>
      <w:r>
        <w:br w:type="page"/>
      </w:r>
    </w:p>
    <w:p>
      <w:pPr>
        <w:pStyle w:val="Heading1"/>
      </w:pPr>
      <w:r>
        <w:t xml:space="preserve">7. The Product (CTO View)</w:t>
      </w:r>
    </w:p>
    <w:p>
      <w:pPr>
        <w:spacing w:after="140" w:line="274"/>
      </w:pPr>
      <w:r>
        <w:t xml:space="preserve">The defensibility here is not the brokerage licence — it's the brand, the audience, the data, and the software experience wrapped around a high-ticket, once-scary transaction.</w:t>
      </w:r>
    </w:p>
    <w:p>
      <w:pPr>
        <w:pStyle w:val="ListParagraph"/>
        <w:numPr>
          <w:ilvl w:val="0"/>
          <w:numId w:val="2"/>
        </w:numPr>
        <w:spacing w:after="70" w:line="268"/>
      </w:pPr>
      <w:r>
        <w:rPr>
          <w:b/>
          <w:bCs/>
        </w:rPr>
        <w:t xml:space="preserve">Discovery + trust layer: </w:t>
      </w:r>
      <w:r>
        <w:t xml:space="preserve">a beautiful global marketplace of vetted off-plan projects with real yields, payment plans, developer track records, and honest data — the antidote to hype-driven broker Instagram.</w:t>
      </w:r>
    </w:p>
    <w:p>
      <w:pPr>
        <w:pStyle w:val="ListParagraph"/>
        <w:numPr>
          <w:ilvl w:val="0"/>
          <w:numId w:val="2"/>
        </w:numPr>
        <w:spacing w:after="70" w:line="268"/>
      </w:pPr>
      <w:r>
        <w:rPr>
          <w:b/>
          <w:bCs/>
        </w:rPr>
        <w:t xml:space="preserve">Decision tools: </w:t>
      </w:r>
      <w:r>
        <w:t xml:space="preserve">ROI/yield calculators, golden-visa eligibility, mortgage pre-qualification, side-by-side project comparison — the lead-gen engine and the reason people trust you.</w:t>
      </w:r>
    </w:p>
    <w:p>
      <w:pPr>
        <w:pStyle w:val="ListParagraph"/>
        <w:numPr>
          <w:ilvl w:val="0"/>
          <w:numId w:val="2"/>
        </w:numPr>
        <w:spacing w:after="70" w:line="268"/>
      </w:pPr>
      <w:r>
        <w:rPr>
          <w:b/>
          <w:bCs/>
        </w:rPr>
        <w:t xml:space="preserve">Remote-buying rails: </w:t>
      </w:r>
      <w:r>
        <w:t xml:space="preserve">guided digital purchase flow — KYC, reservation, contracts (DLD/Oqood), escrow, payment, handover tracking — so a buyer in Mumbai or London closes with confidence.</w:t>
      </w:r>
    </w:p>
    <w:p>
      <w:pPr>
        <w:pStyle w:val="ListParagraph"/>
        <w:numPr>
          <w:ilvl w:val="0"/>
          <w:numId w:val="2"/>
        </w:numPr>
        <w:spacing w:after="70" w:line="268"/>
      </w:pPr>
      <w:r>
        <w:rPr>
          <w:b/>
          <w:bCs/>
        </w:rPr>
        <w:t xml:space="preserve">AI advisor: </w:t>
      </w:r>
      <w:r>
        <w:t xml:space="preserve">a multilingual assistant that answers investor questions, matches projects to goals (yield vs. visa vs. capital growth), and nurtures leads 24/7 across time zones.</w:t>
      </w:r>
    </w:p>
    <w:p>
      <w:pPr>
        <w:pStyle w:val="ListParagraph"/>
        <w:numPr>
          <w:ilvl w:val="0"/>
          <w:numId w:val="2"/>
        </w:numPr>
        <w:spacing w:after="70" w:line="268"/>
      </w:pPr>
      <w:r>
        <w:rPr>
          <w:b/>
          <w:bCs/>
        </w:rPr>
        <w:t xml:space="preserve">Owner portal: </w:t>
      </w:r>
      <w:r>
        <w:t xml:space="preserve">post-sale management, rent, statements, resale — the recurring, sticky surface that turns a one-off buyer into a lifetime relationship and referral source.</w:t>
      </w:r>
    </w:p>
    <w:p>
      <w:pPr>
        <w:pStyle w:val="ListParagraph"/>
        <w:numPr>
          <w:ilvl w:val="0"/>
          <w:numId w:val="2"/>
        </w:numPr>
        <w:spacing w:after="70" w:line="268"/>
      </w:pPr>
      <w:r>
        <w:rPr>
          <w:b/>
          <w:bCs/>
        </w:rPr>
        <w:t xml:space="preserve">Data moat: </w:t>
      </w:r>
      <w:r>
        <w:t xml:space="preserve">proprietary buyer-intent, project-performance and yield data accumulates into the most trusted source for international Dubai investment — hard to replicate, and the seed of the future wealth product.</w:t>
      </w:r>
    </w:p>
    <w:p>
      <w:r>
        <w:br w:type="page"/>
      </w:r>
    </w:p>
    <w:p>
      <w:pPr>
        <w:pStyle w:val="Heading1"/>
      </w:pPr>
      <w:r>
        <w:t xml:space="preserve">8. The 12-Month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3210"/>
        <w:gridCol w:w="2000"/>
      </w:tblGrid>
      <w:tr>
        <w:trPr>
          <w:tblHeader/>
        </w:trPr>
        <w:tc>
          <w:tcPr>
            <w:tcW w:type="dxa" w:w="15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Phase</w:t>
            </w:r>
          </w:p>
        </w:tc>
        <w:tc>
          <w:tcPr>
            <w:tcW w:type="dxa" w:w="265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Focus</w:t>
            </w:r>
          </w:p>
        </w:tc>
        <w:tc>
          <w:tcPr>
            <w:tcW w:type="dxa" w:w="321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Key actions</w:t>
            </w:r>
          </w:p>
        </w:tc>
        <w:tc>
          <w:tcPr>
            <w:tcW w:type="dxa" w:w="20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Target exit</w:t>
            </w:r>
          </w:p>
        </w:tc>
      </w:tr>
      <w:tr>
        <w:tc>
          <w:tcPr>
            <w:tcW w:type="dxa" w:w="150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bCs/>
                <w:color w:val="222222"/>
                <w:sz w:val="19"/>
                <w:szCs w:val="19"/>
              </w:rPr>
              <w:t xml:space="preserve">M 0–3</w:t>
            </w:r>
          </w:p>
          <w:p>
            <w:pPr>
              <w:spacing w:after="0" w:line="250"/>
              <w:jc w:val="left"/>
            </w:pPr>
            <w:r>
              <w:rPr>
                <w:b/>
                <w:bCs/>
                <w:color w:val="222222"/>
                <w:sz w:val="19"/>
                <w:szCs w:val="19"/>
              </w:rPr>
              <w:t xml:space="preserve">Build engine</w:t>
            </w:r>
          </w:p>
        </w:tc>
        <w:tc>
          <w:tcPr>
            <w:tcW w:type="dxa" w:w="265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Set up; content + tools live; developer deals; first closings</w:t>
            </w:r>
          </w:p>
        </w:tc>
        <w:tc>
          <w:tcPr>
            <w:tcW w:type="dxa" w:w="321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Register (free-zone media/tech co + RERA brokerage path); launch content/SEO + lead tools; sign 3–5 developers; close first buyers as introducer/with a licensed partner</w:t>
            </w:r>
          </w:p>
        </w:tc>
        <w:tc>
          <w:tcPr>
            <w:tcW w:type="dxa" w:w="2000"/>
            <w:tcBorders>
              <w:top w:val="single" w:color="D5DCE3" w:sz="1"/>
              <w:left w:val="single" w:color="D5DCE3" w:sz="1"/>
              <w:bottom w:val="single" w:color="D5DCE3" w:sz="1"/>
              <w:right w:val="single" w:color="D5DCE3" w:sz="1"/>
            </w:tcBorders>
            <w:shd w:fill="F6EFDD"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First 3–5 deals; audience engine running; ~AED 0.4–0.7M commission</w:t>
            </w:r>
          </w:p>
        </w:tc>
      </w:tr>
      <w:tr>
        <w:tc>
          <w:tcPr>
            <w:tcW w:type="dxa" w:w="15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M 3–6</w:t>
            </w:r>
          </w:p>
          <w:p>
            <w:pPr>
              <w:spacing w:after="0" w:line="250"/>
              <w:jc w:val="left"/>
            </w:pPr>
            <w:r>
              <w:rPr>
                <w:b/>
                <w:bCs/>
                <w:color w:val="222222"/>
                <w:sz w:val="19"/>
                <w:szCs w:val="19"/>
              </w:rPr>
              <w:t xml:space="preserve">Systematize</w:t>
            </w:r>
          </w:p>
        </w:tc>
        <w:tc>
          <w:tcPr>
            <w:tcW w:type="dxa" w:w="265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Own brokerage licence; repeatable funnel; add attach</w:t>
            </w:r>
          </w:p>
        </w:tc>
        <w:tc>
          <w:tcPr>
            <w:tcW w:type="dxa" w:w="321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Obtain RERA brokerage licence; scale paid + organic; launch golden-visa + setup attach; hire first closer/offshore</w:t>
            </w:r>
          </w:p>
        </w:tc>
        <w:tc>
          <w:tcPr>
            <w:tcW w:type="dxa" w:w="20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10–30 deals; attach revenue live; first case studies</w:t>
            </w:r>
          </w:p>
        </w:tc>
      </w:tr>
      <w:tr>
        <w:tc>
          <w:tcPr>
            <w:tcW w:type="dxa" w:w="15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M 6–9</w:t>
            </w:r>
          </w:p>
          <w:p>
            <w:pPr>
              <w:spacing w:after="0" w:line="250"/>
              <w:jc w:val="left"/>
            </w:pPr>
            <w:r>
              <w:rPr>
                <w:b/>
                <w:bCs/>
                <w:color w:val="222222"/>
                <w:sz w:val="19"/>
                <w:szCs w:val="19"/>
              </w:rPr>
              <w:t xml:space="preserve">Recurring</w:t>
            </w:r>
          </w:p>
        </w:tc>
        <w:tc>
          <w:tcPr>
            <w:tcW w:type="dxa" w:w="265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Property management + multi-nationality funnels</w:t>
            </w:r>
          </w:p>
        </w:tc>
        <w:tc>
          <w:tcPr>
            <w:tcW w:type="dxa" w:w="321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Launch owner/management portal (recurring ARR); open Hindi/Russian/Chinese funnels; deepen developer terms</w:t>
            </w:r>
          </w:p>
        </w:tc>
        <w:tc>
          <w:tcPr>
            <w:tcW w:type="dxa" w:w="20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Recurring ARR started; 50+ cumulative deals</w:t>
            </w:r>
          </w:p>
        </w:tc>
      </w:tr>
      <w:tr>
        <w:tc>
          <w:tcPr>
            <w:tcW w:type="dxa" w:w="15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M 9–12</w:t>
            </w:r>
          </w:p>
          <w:p>
            <w:pPr>
              <w:spacing w:after="0" w:line="250"/>
              <w:jc w:val="left"/>
            </w:pPr>
            <w:r>
              <w:rPr>
                <w:b/>
                <w:bCs/>
                <w:color w:val="222222"/>
                <w:sz w:val="19"/>
                <w:szCs w:val="19"/>
              </w:rPr>
              <w:t xml:space="preserve">Scale / raise</w:t>
            </w:r>
          </w:p>
        </w:tc>
        <w:tc>
          <w:tcPr>
            <w:tcW w:type="dxa" w:w="265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Investment product + fundraise optionality</w:t>
            </w:r>
          </w:p>
        </w:tc>
        <w:tc>
          <w:tcPr>
            <w:tcW w:type="dxa" w:w="321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Add white-label fractional/managed portfolios; decide bootstrap vs. raise (proptech VCs are active here)</w:t>
            </w:r>
          </w:p>
        </w:tc>
        <w:tc>
          <w:tcPr>
            <w:tcW w:type="dxa" w:w="20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Fundable metrics or profitable; investment product piloted</w:t>
            </w:r>
          </w:p>
        </w:tc>
      </w:tr>
    </w:tbl>
    <w:p>
      <w:r>
        <w:br w:type="page"/>
      </w:r>
    </w:p>
    <w:p>
      <w:pPr>
        <w:pStyle w:val="Heading1"/>
      </w:pPr>
      <w:r>
        <w:t xml:space="preserve">9. The Path to a Billion-Dollar Company</w:t>
      </w:r>
    </w:p>
    <w:p>
      <w:pPr>
        <w:spacing w:after="140" w:line="274"/>
      </w:pPr>
      <w:r>
        <w:t xml:space="preserve">Unlike the last idea, the $1B ceiling here is not a hopeful TAM slide — it's demonstrated by companies in this exact market. </w:t>
      </w:r>
      <w:r>
        <w:rPr>
          <w:b/>
          <w:bCs/>
        </w:rPr>
        <w:t xml:space="preserve">Property Finder raised $525M; huspy passed $100M and originates ~1 in 4 Dubai mortgages; Prypco is backed by General Catalyst; Nawy is building a MENA real-estate super-app. The comps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Rung</w:t>
            </w:r>
          </w:p>
        </w:tc>
        <w:tc>
          <w:tcPr>
            <w:tcW w:type="dxa" w:w="400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Move</w:t>
            </w:r>
          </w:p>
        </w:tc>
        <w:tc>
          <w:tcPr>
            <w:tcW w:type="dxa" w:w="3960"/>
            <w:tcBorders>
              <w:top w:val="single" w:color="D5DCE3" w:sz="1"/>
              <w:left w:val="single" w:color="D5DCE3" w:sz="1"/>
              <w:bottom w:val="single" w:color="D5DCE3" w:sz="1"/>
              <w:right w:val="single" w:color="D5DCE3" w:sz="1"/>
            </w:tcBorders>
            <w:shd w:fill="1C6E8C" w:val="clear"/>
            <w:tcMar>
              <w:top w:type="dxa" w:w="70"/>
              <w:left w:type="dxa" w:w="110"/>
              <w:bottom w:type="dxa" w:w="70"/>
              <w:right w:type="dxa" w:w="110"/>
            </w:tcMar>
            <w:vAlign w:val="center"/>
          </w:tcPr>
          <w:p>
            <w:pPr>
              <w:spacing w:after="0" w:line="250"/>
              <w:jc w:val="left"/>
            </w:pPr>
            <w:r>
              <w:rPr>
                <w:b/>
                <w:bCs/>
                <w:color w:val="FFFFFF"/>
                <w:sz w:val="19"/>
                <w:szCs w:val="19"/>
              </w:rPr>
              <w:t xml:space="preserve">Unlocks</w:t>
            </w:r>
          </w:p>
        </w:tc>
      </w:tr>
      <w:tr>
        <w:tc>
          <w:tcPr>
            <w:tcW w:type="dxa" w:w="14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1</w:t>
            </w:r>
          </w:p>
        </w:tc>
        <w:tc>
          <w:tcPr>
            <w:tcW w:type="dxa" w:w="40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Win international off-plan brokerage online</w:t>
            </w:r>
          </w:p>
        </w:tc>
        <w:tc>
          <w:tcPr>
            <w:tcW w:type="dxa" w:w="39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AED 50–150M revenue potential from a thin slice of the AED 14–20B commission pool</w:t>
            </w:r>
          </w:p>
        </w:tc>
      </w:tr>
      <w:tr>
        <w:tc>
          <w:tcPr>
            <w:tcW w:type="dxa" w:w="14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2</w:t>
            </w:r>
          </w:p>
        </w:tc>
        <w:tc>
          <w:tcPr>
            <w:tcW w:type="dxa" w:w="40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Attach visa + setup + management (recurring)</w:t>
            </w:r>
          </w:p>
        </w:tc>
        <w:tc>
          <w:tcPr>
            <w:tcW w:type="dxa" w:w="39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Higher margin + durable ARR + retention; de-risks the lumpy commission model</w:t>
            </w:r>
          </w:p>
        </w:tc>
      </w:tr>
      <w:tr>
        <w:tc>
          <w:tcPr>
            <w:tcW w:type="dxa" w:w="14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3</w:t>
            </w:r>
          </w:p>
        </w:tc>
        <w:tc>
          <w:tcPr>
            <w:tcW w:type="dxa" w:w="40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Investment products + managed portfolios (AUM)</w:t>
            </w:r>
          </w:p>
        </w:tc>
        <w:tc>
          <w:tcPr>
            <w:tcW w:type="dxa" w:w="39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Compounding AUM economics; converges with the Wealth-OS opportunity (#2)</w:t>
            </w:r>
          </w:p>
        </w:tc>
      </w:tr>
      <w:tr>
        <w:tc>
          <w:tcPr>
            <w:tcW w:type="dxa" w:w="14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4</w:t>
            </w:r>
          </w:p>
        </w:tc>
        <w:tc>
          <w:tcPr>
            <w:tcW w:type="dxa" w:w="40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Franchise the playbook to other magnet hubs</w:t>
            </w:r>
          </w:p>
        </w:tc>
        <w:tc>
          <w:tcPr>
            <w:tcW w:type="dxa" w:w="39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Multiplies TAM beyond Dubai; the global “invest + relocate” platform</w:t>
            </w:r>
          </w:p>
        </w:tc>
      </w:tr>
    </w:tbl>
    <w:p>
      <w:pPr>
        <w:spacing w:after="50"/>
      </w:pPr>
    </w:p>
    <w:p>
      <w:pPr>
        <w:spacing w:after="140" w:line="274"/>
      </w:pPr>
      <w:r>
        <w:rPr>
          <w:b/>
          <w:bCs/>
        </w:rPr>
        <w:t xml:space="preserve">Honest framing: </w:t>
      </w:r>
      <w:r>
        <w:t xml:space="preserve">the brokerage wedge alone is a strong, cash-generative business but not automatically a $1B one. The billion-dollar outcome comes from stacking recurring management + investment/AUM on top of the buyer relationships you win cheaply — turning a transaction brand into a lifetime “money-and-life-in-Dubai” platform. That climb is a series of concrete, fundable steps, each funded by the last.</w:t>
      </w:r>
    </w:p>
    <w:p>
      <w:r>
        <w:br w:type="page"/>
      </w:r>
    </w:p>
    <w:p>
      <w:pPr>
        <w:pStyle w:val="Heading1"/>
      </w:pPr>
      <w:r>
        <w:t xml:space="preserve">10. Moat, Risks &amp; Mitigations</w:t>
      </w:r>
    </w:p>
    <w:p>
      <w:pPr>
        <w:pStyle w:val="Heading3"/>
      </w:pPr>
      <w:r>
        <w:t xml:space="preserve">10.1 What makes it defensible</w:t>
      </w:r>
    </w:p>
    <w:p>
      <w:pPr>
        <w:pStyle w:val="ListParagraph"/>
        <w:numPr>
          <w:ilvl w:val="0"/>
          <w:numId w:val="2"/>
        </w:numPr>
        <w:spacing w:after="70" w:line="268"/>
      </w:pPr>
      <w:r>
        <w:rPr>
          <w:b/>
          <w:bCs/>
        </w:rPr>
        <w:t xml:space="preserve">Brand + audience: </w:t>
      </w:r>
      <w:r>
        <w:t xml:space="preserve">a global content flywheel and trusted brand that compounds and is expensive to out-rank.</w:t>
      </w:r>
    </w:p>
    <w:p>
      <w:pPr>
        <w:pStyle w:val="ListParagraph"/>
        <w:numPr>
          <w:ilvl w:val="0"/>
          <w:numId w:val="2"/>
        </w:numPr>
        <w:spacing w:after="70" w:line="268"/>
      </w:pPr>
      <w:r>
        <w:rPr>
          <w:b/>
          <w:bCs/>
        </w:rPr>
        <w:t xml:space="preserve">Attach LTV + recurring management: </w:t>
      </w:r>
      <w:r>
        <w:t xml:space="preserve">once you hold the owner relationship and manage the asset, switching away is painful.</w:t>
      </w:r>
    </w:p>
    <w:p>
      <w:pPr>
        <w:pStyle w:val="ListParagraph"/>
        <w:numPr>
          <w:ilvl w:val="0"/>
          <w:numId w:val="2"/>
        </w:numPr>
        <w:spacing w:after="70" w:line="268"/>
      </w:pPr>
      <w:r>
        <w:rPr>
          <w:b/>
          <w:bCs/>
        </w:rPr>
        <w:t xml:space="preserve">Proprietary data: </w:t>
      </w:r>
      <w:r>
        <w:t xml:space="preserve">buyer-intent + project-yield data becomes the most trusted source for international Dubai investment.</w:t>
      </w:r>
    </w:p>
    <w:p>
      <w:pPr>
        <w:pStyle w:val="ListParagraph"/>
        <w:numPr>
          <w:ilvl w:val="0"/>
          <w:numId w:val="2"/>
        </w:numPr>
        <w:spacing w:after="70" w:line="268"/>
      </w:pPr>
      <w:r>
        <w:rPr>
          <w:b/>
          <w:bCs/>
        </w:rPr>
        <w:t xml:space="preserve">Developer relationships + licence: </w:t>
      </w:r>
      <w:r>
        <w:t xml:space="preserve">agency terms and RERA licensing are real, if surmountable, barriers.</w:t>
      </w:r>
    </w:p>
    <w:p>
      <w:pPr>
        <w:pStyle w:val="Heading3"/>
      </w:pPr>
      <w:r>
        <w:t xml:space="preserve">10.2 Risks and how we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Risk</w:t>
            </w:r>
          </w:p>
        </w:tc>
        <w:tc>
          <w:tcPr>
            <w:tcW w:type="dxa" w:w="5960"/>
            <w:tcBorders>
              <w:top w:val="single" w:color="D5DCE3" w:sz="1"/>
              <w:left w:val="single" w:color="D5DCE3" w:sz="1"/>
              <w:bottom w:val="single" w:color="D5DCE3" w:sz="1"/>
              <w:right w:val="single" w:color="D5DCE3" w:sz="1"/>
            </w:tcBorders>
            <w:shd w:fill="10233B" w:val="clear"/>
            <w:tcMar>
              <w:top w:type="dxa" w:w="70"/>
              <w:left w:type="dxa" w:w="110"/>
              <w:bottom w:type="dxa" w:w="70"/>
              <w:right w:type="dxa" w:w="110"/>
            </w:tcMar>
            <w:vAlign w:val="center"/>
          </w:tcPr>
          <w:p>
            <w:pPr>
              <w:spacing w:after="0" w:line="250"/>
              <w:jc w:val="left"/>
            </w:pPr>
            <w:r>
              <w:rPr>
                <w:b/>
                <w:bCs/>
                <w:color w:val="FFFFFF"/>
                <w:sz w:val="19"/>
                <w:szCs w:val="19"/>
              </w:rPr>
              <w:t xml:space="preserve">Mitigation</w:t>
            </w:r>
          </w:p>
        </w:tc>
      </w:tr>
      <w:tr>
        <w:tc>
          <w:tcPr>
            <w:tcW w:type="dxa" w:w="34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Thin tech moat at the wedge (you're a broker)</w:t>
            </w:r>
          </w:p>
        </w:tc>
        <w:tc>
          <w:tcPr>
            <w:tcW w:type="dxa" w:w="59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Compete on brand + audience + software + attach LTV, not defensible tech alone; build recurring management early</w:t>
            </w:r>
          </w:p>
        </w:tc>
      </w:tr>
      <w:tr>
        <w:tc>
          <w:tcPr>
            <w:tcW w:type="dxa" w:w="34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Lumpy, transaction-based commissions</w:t>
            </w:r>
          </w:p>
        </w:tc>
        <w:tc>
          <w:tcPr>
            <w:tcW w:type="dxa" w:w="59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Layer recurring property-management ARR and subscriptions fast; diversify across nationalities and price points</w:t>
            </w:r>
          </w:p>
        </w:tc>
      </w:tr>
      <w:tr>
        <w:tc>
          <w:tcPr>
            <w:tcW w:type="dxa" w:w="34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Well-funded competition (Prypco, huspy, Nawy)</w:t>
            </w:r>
          </w:p>
        </w:tc>
        <w:tc>
          <w:tcPr>
            <w:tcW w:type="dxa" w:w="59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Go global-first and to under-served nationalities/languages; win on content + software + trust, not roadshows</w:t>
            </w:r>
          </w:p>
        </w:tc>
      </w:tr>
      <w:tr>
        <w:tc>
          <w:tcPr>
            <w:tcW w:type="dxa" w:w="34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Property-market cyclicality</w:t>
            </w:r>
          </w:p>
        </w:tc>
        <w:tc>
          <w:tcPr>
            <w:tcW w:type="dxa" w:w="59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Diversify into visa/setup/management/wealth (less cyclical); global demand base spreads risk</w:t>
            </w:r>
          </w:p>
        </w:tc>
      </w:tr>
      <w:tr>
        <w:tc>
          <w:tcPr>
            <w:tcW w:type="dxa" w:w="34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Trust (wiring money abroad for property)</w:t>
            </w:r>
          </w:p>
        </w:tc>
        <w:tc>
          <w:tcPr>
            <w:tcW w:type="dxa" w:w="59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Lean on DLD escrow/Oqood, transparency, verified reviews, and brand; make the digital process safer than the norm</w:t>
            </w:r>
          </w:p>
        </w:tc>
      </w:tr>
      <w:tr>
        <w:tc>
          <w:tcPr>
            <w:tcW w:type="dxa" w:w="340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bCs/>
                <w:color w:val="222222"/>
                <w:sz w:val="19"/>
                <w:szCs w:val="19"/>
              </w:rPr>
              <w:t xml:space="preserve">You must become great at marketing</w:t>
            </w:r>
          </w:p>
        </w:tc>
        <w:tc>
          <w:tcPr>
            <w:tcW w:type="dxa" w:w="5960"/>
            <w:tcBorders>
              <w:top w:val="single" w:color="D5DCE3" w:sz="1"/>
              <w:left w:val="single" w:color="D5DCE3" w:sz="1"/>
              <w:bottom w:val="single" w:color="D5DCE3" w:sz="1"/>
              <w:right w:val="single" w:color="D5DCE3" w:sz="1"/>
            </w:tcBorders>
            <w:tcMar>
              <w:top w:type="dxa" w:w="70"/>
              <w:left w:type="dxa" w:w="110"/>
              <w:bottom w:type="dxa" w:w="70"/>
              <w:right w:type="dxa" w:w="110"/>
            </w:tcMar>
            <w:vAlign w:val="center"/>
          </w:tcPr>
          <w:p>
            <w:pPr>
              <w:spacing w:after="0" w:line="250"/>
              <w:jc w:val="left"/>
            </w:pPr>
            <w:r>
              <w:rPr>
                <w:b w:val="false"/>
                <w:bCs w:val="false"/>
                <w:color w:val="222222"/>
                <w:sz w:val="19"/>
                <w:szCs w:val="19"/>
              </w:rPr>
              <w:t xml:space="preserve">This is the core skill to build/hire; the technical edge is in productizing the funnel — lean into it</w:t>
            </w:r>
          </w:p>
        </w:tc>
      </w:tr>
      <w:tr>
        <w:tc>
          <w:tcPr>
            <w:tcW w:type="dxa" w:w="340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bCs/>
                <w:color w:val="222222"/>
                <w:sz w:val="19"/>
                <w:szCs w:val="19"/>
              </w:rPr>
              <w:t xml:space="preserve">Regulatory (RERA; financial licensing later)</w:t>
            </w:r>
          </w:p>
        </w:tc>
        <w:tc>
          <w:tcPr>
            <w:tcW w:type="dxa" w:w="5960"/>
            <w:tcBorders>
              <w:top w:val="single" w:color="D5DCE3" w:sz="1"/>
              <w:left w:val="single" w:color="D5DCE3" w:sz="1"/>
              <w:bottom w:val="single" w:color="D5DCE3" w:sz="1"/>
              <w:right w:val="single" w:color="D5DCE3" w:sz="1"/>
            </w:tcBorders>
            <w:shd w:fill="F3F7F9" w:val="clear"/>
            <w:tcMar>
              <w:top w:type="dxa" w:w="70"/>
              <w:left w:type="dxa" w:w="110"/>
              <w:bottom w:type="dxa" w:w="70"/>
              <w:right w:type="dxa" w:w="110"/>
            </w:tcMar>
            <w:vAlign w:val="center"/>
          </w:tcPr>
          <w:p>
            <w:pPr>
              <w:spacing w:after="0" w:line="250"/>
              <w:jc w:val="left"/>
            </w:pPr>
            <w:r>
              <w:rPr>
                <w:b w:val="false"/>
                <w:bCs w:val="false"/>
                <w:color w:val="222222"/>
                <w:sz w:val="19"/>
                <w:szCs w:val="19"/>
              </w:rPr>
              <w:t xml:space="preserve">Start licence-light (content/introducer), add RERA brokerage, and partner/white-label for regulated investment products</w:t>
            </w:r>
          </w:p>
        </w:tc>
      </w:tr>
    </w:tbl>
    <w:p>
      <w:r>
        <w:br w:type="page"/>
      </w:r>
    </w:p>
    <w:p>
      <w:pPr>
        <w:pStyle w:val="Heading1"/>
      </w:pPr>
      <w:r>
        <w:t xml:space="preserve">11. Company Setup &amp; Licensing</w:t>
      </w:r>
    </w:p>
    <w:p>
      <w:pPr>
        <w:pStyle w:val="ListParagraph"/>
        <w:numPr>
          <w:ilvl w:val="0"/>
          <w:numId w:val="2"/>
        </w:numPr>
        <w:spacing w:after="70" w:line="268"/>
      </w:pPr>
      <w:r>
        <w:rPr>
          <w:b/>
          <w:bCs/>
        </w:rPr>
        <w:t xml:space="preserve">Structure: </w:t>
      </w:r>
      <w:r>
        <w:t xml:space="preserve">a low-cost free-zone entity (IFZA/Meydan, ~AED 20k) for the media/tech/holding business, plus a mainland RERA-licensed brokerage entity for the property transactions (100% foreign ownership has been allowed since 2023). Start as content + introducer with a licensed partner while the brokerage licence processes.</w:t>
      </w:r>
    </w:p>
    <w:p>
      <w:pPr>
        <w:pStyle w:val="ListParagraph"/>
        <w:numPr>
          <w:ilvl w:val="0"/>
          <w:numId w:val="2"/>
        </w:numPr>
        <w:spacing w:after="70" w:line="268"/>
      </w:pPr>
      <w:r>
        <w:rPr>
          <w:b/>
          <w:bCs/>
        </w:rPr>
        <w:t xml:space="preserve">Licensing: </w:t>
      </w:r>
      <w:r>
        <w:t xml:space="preserve">RERA broker registration + DREI course/exam for the licensed agent — achievable within your AED 100k–500k budget. Golden-visa/company-setup advisory is light-touch.</w:t>
      </w:r>
    </w:p>
    <w:p>
      <w:pPr>
        <w:pStyle w:val="ListParagraph"/>
        <w:numPr>
          <w:ilvl w:val="0"/>
          <w:numId w:val="2"/>
        </w:numPr>
        <w:spacing w:after="70" w:line="268"/>
      </w:pPr>
      <w:r>
        <w:rPr>
          <w:b/>
          <w:bCs/>
        </w:rPr>
        <w:t xml:space="preserve">Do NOT build tokenization yourself: </w:t>
      </w:r>
      <w:r>
        <w:t xml:space="preserve">VARA requires ~AED 1.5M paid-up capital plus heavy supervision — out of budget. Partner/white-label an existing licensed platform when you reach the investment-product rung.</w:t>
      </w:r>
    </w:p>
    <w:p>
      <w:pPr>
        <w:pStyle w:val="ListParagraph"/>
        <w:numPr>
          <w:ilvl w:val="0"/>
          <w:numId w:val="2"/>
        </w:numPr>
        <w:spacing w:after="70" w:line="268"/>
      </w:pPr>
      <w:r>
        <w:rPr>
          <w:b/>
          <w:bCs/>
        </w:rPr>
        <w:t xml:space="preserve">Golden visa for you: </w:t>
      </w:r>
      <w:r>
        <w:t xml:space="preserve">the business and/or a property holding can anchor your own residency — you're selling something you personally use.</w:t>
      </w:r>
    </w:p>
    <w:p>
      <w:r>
        <w:br w:type="page"/>
      </w:r>
    </w:p>
    <w:p>
      <w:pPr>
        <w:pStyle w:val="Heading1"/>
      </w:pPr>
      <w:r>
        <w:t xml:space="preserve">12. The Strong Alternative &amp; Honorable Mentions</w:t>
      </w:r>
    </w:p>
    <w:p>
      <w:pPr>
        <w:pStyle w:val="Heading3"/>
      </w:pPr>
      <w:r>
        <w:t xml:space="preserve">Alternative / natural expansion — Wealth OS for global citizens</w:t>
      </w:r>
    </w:p>
    <w:p>
      <w:pPr>
        <w:spacing w:after="140" w:line="274"/>
      </w:pPr>
      <w:r>
        <w:t xml:space="preserve">An independent, fee-transparent platform giving the affluent who move to Dubai a multi-currency account + global investing + access to private/alternative assets — explicitly positioned against the commission-driven mis-selling ~52% of UAE expats report. </w:t>
      </w:r>
      <w:r>
        <w:rPr>
          <w:b/>
          <w:bCs/>
        </w:rPr>
        <w:t xml:space="preserve">It is the same customer as the Gateway</w:t>
      </w:r>
      <w:r>
        <w:t xml:space="preserve">, which is why it's the natural expansion rather than a rival. Higher regulatory lift (DIFC Innovation Licence → ADGM RegLab, which fits your budget), but compounding AUM economics. If you'd prefer to lead with fintech over property, this is the one to pick.</w:t>
      </w:r>
    </w:p>
    <w:p>
      <w:pPr>
        <w:pStyle w:val="Heading3"/>
      </w:pPr>
      <w:r>
        <w:t xml:space="preserve">Honorable mentions (why they lost)</w:t>
      </w:r>
    </w:p>
    <w:p>
      <w:pPr>
        <w:pStyle w:val="ListParagraph"/>
        <w:numPr>
          <w:ilvl w:val="0"/>
          <w:numId w:val="2"/>
        </w:numPr>
        <w:spacing w:after="70" w:line="268"/>
      </w:pPr>
      <w:r>
        <w:rPr>
          <w:b/>
          <w:bCs/>
        </w:rPr>
        <w:t xml:space="preserve">AI-native Islamic lifestyle app: </w:t>
      </w:r>
      <w:r>
        <w:t xml:space="preserve">huge global TAM (1.9B Muslims; Muslim Pro has 170M users monetized only by ads) and beautifully product-led — but $1B is less certain (consumer power-law) and faith-content accuracy is a real reputational risk.</w:t>
      </w:r>
    </w:p>
    <w:p>
      <w:pPr>
        <w:pStyle w:val="ListParagraph"/>
        <w:numPr>
          <w:ilvl w:val="0"/>
          <w:numId w:val="2"/>
        </w:numPr>
        <w:spacing w:after="70" w:line="268"/>
      </w:pPr>
      <w:r>
        <w:rPr>
          <w:b/>
          <w:bCs/>
        </w:rPr>
        <w:t xml:space="preserve">AI bloodwork / longevity utility: </w:t>
      </w:r>
      <w:r>
        <w:t xml:space="preserve">viral, asset-light, and riding Dubai's new Longevity Authority — but medical-claims framing and commoditization by big AI are live risks.</w:t>
      </w:r>
    </w:p>
    <w:p>
      <w:pPr>
        <w:pStyle w:val="ListParagraph"/>
        <w:numPr>
          <w:ilvl w:val="0"/>
          <w:numId w:val="2"/>
        </w:numPr>
        <w:spacing w:after="70" w:line="268"/>
      </w:pPr>
      <w:r>
        <w:rPr>
          <w:b/>
          <w:bCs/>
        </w:rPr>
        <w:t xml:space="preserve">Arabic-first AI UGC ad studio: </w:t>
      </w:r>
      <w:r>
        <w:t xml:space="preserve">real B2B willingness-to-pay, but a crowded, well-funded category.</w:t>
      </w:r>
    </w:p>
    <w:p>
      <w:pPr>
        <w:pStyle w:val="ListParagraph"/>
        <w:numPr>
          <w:ilvl w:val="0"/>
          <w:numId w:val="2"/>
        </w:numPr>
        <w:spacing w:after="70" w:line="268"/>
      </w:pPr>
      <w:r>
        <w:rPr>
          <w:b/>
          <w:bCs/>
        </w:rPr>
        <w:t xml:space="preserve">Tokenized real-estate infrastructure: </w:t>
      </w:r>
      <w:r>
        <w:t xml:space="preserve">strategically exciting, but capital- and licence-heavy (VARA) — a partner/white-label play, not a solo cold-start.</w:t>
      </w:r>
    </w:p>
    <w:p>
      <w:pPr>
        <w:pStyle w:val="ListParagraph"/>
        <w:numPr>
          <w:ilvl w:val="0"/>
          <w:numId w:val="2"/>
        </w:numPr>
        <w:spacing w:after="70" w:line="268"/>
      </w:pPr>
      <w:r>
        <w:rPr>
          <w:b/>
          <w:bCs/>
        </w:rPr>
        <w:t xml:space="preserve">Consumer remittance / me-too robo-advisor: </w:t>
      </w:r>
      <w:r>
        <w:t xml:space="preserve">avoid — thin margins, entrenched incumbents (Botim, Careem, Wio, Sarwa), exactly the “everyone's doing it” trap.</w:t>
      </w:r>
    </w:p>
    <w:p>
      <w:r>
        <w:br w:type="page"/>
      </w:r>
    </w:p>
    <w:p>
      <w:pPr>
        <w:pStyle w:val="Heading1"/>
      </w:pPr>
      <w:r>
        <w:t xml:space="preserve">13. Immediate Next Steps (First 30 Days)</w:t>
      </w:r>
    </w:p>
    <w:p>
      <w:pPr>
        <w:pStyle w:val="ListParagraph"/>
        <w:numPr>
          <w:ilvl w:val="0"/>
          <w:numId w:val="3"/>
        </w:numPr>
        <w:spacing w:after="70" w:line="268"/>
      </w:pPr>
      <w:r>
        <w:t xml:space="preserve">Pick the lane. Confirm we lead with the Gateway (property-first) vs. the Wealth-OS alternative. My recommendation: the Gateway — fastest cash, easiest cold-sell, and it grows into the wealth play anyway.</w:t>
      </w:r>
    </w:p>
    <w:p>
      <w:pPr>
        <w:pStyle w:val="ListParagraph"/>
        <w:numPr>
          <w:ilvl w:val="0"/>
          <w:numId w:val="3"/>
        </w:numPr>
        <w:spacing w:after="70" w:line="268"/>
      </w:pPr>
      <w:r>
        <w:t xml:space="preserve">Validate demand cheaply. Stand up a landing page + 3–5 pieces of content for one nationality (e.g. Indian buyers) and run a small paid test; measure cost-per-qualified-lead against the AED 100k+ deal value.</w:t>
      </w:r>
    </w:p>
    <w:p>
      <w:pPr>
        <w:pStyle w:val="ListParagraph"/>
        <w:numPr>
          <w:ilvl w:val="0"/>
          <w:numId w:val="3"/>
        </w:numPr>
        <w:spacing w:after="70" w:line="268"/>
      </w:pPr>
      <w:r>
        <w:t xml:space="preserve">Line up supply. Open conversations with 3–5 major developers' agency desks — you bring foreign buyers, they pay commission. Confirm rates and registration path.</w:t>
      </w:r>
    </w:p>
    <w:p>
      <w:pPr>
        <w:pStyle w:val="ListParagraph"/>
        <w:numPr>
          <w:ilvl w:val="0"/>
          <w:numId w:val="3"/>
        </w:numPr>
        <w:spacing w:after="70" w:line="268"/>
      </w:pPr>
      <w:r>
        <w:t xml:space="preserve">Map the licence. Get exact RERA brokerage steps/costs and identify a licensed partner to close the first deals as introducer while your licence processes.</w:t>
      </w:r>
    </w:p>
    <w:p>
      <w:pPr>
        <w:pStyle w:val="ListParagraph"/>
        <w:numPr>
          <w:ilvl w:val="0"/>
          <w:numId w:val="3"/>
        </w:numPr>
        <w:spacing w:after="70" w:line="268"/>
      </w:pPr>
      <w:r>
        <w:t xml:space="preserve">Build the first lead tool. A golden-visa eligibility checker or off-plan ROI calculator — your technical edge, live in week one, capturing emails from day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FDD" w:sz="2"/>
              <w:left w:val="single" w:color="B8860B" w:sz="24"/>
              <w:bottom w:val="single" w:color="F6EFDD" w:sz="2"/>
              <w:right w:val="single" w:color="F6EFDD" w:sz="2"/>
            </w:tcBorders>
            <w:shd w:fill="F6EFDD" w:val="clear"/>
            <w:tcMar>
              <w:top w:type="dxa" w:w="130"/>
              <w:left w:type="dxa" w:w="180"/>
              <w:bottom w:type="dxa" w:w="130"/>
              <w:right w:type="dxa" w:w="160"/>
            </w:tcMar>
          </w:tcPr>
          <w:p>
            <w:pPr>
              <w:spacing w:after="60"/>
            </w:pPr>
            <w:r>
              <w:rPr>
                <w:b/>
                <w:bCs/>
                <w:color w:val="10233B"/>
                <w:sz w:val="21"/>
                <w:szCs w:val="21"/>
              </w:rPr>
              <w:t xml:space="preserve">The one-line mandate</w:t>
            </w:r>
          </w:p>
          <w:p>
            <w:pPr>
              <w:spacing w:after="50" w:line="264"/>
            </w:pPr>
            <w:r>
              <w:rPr>
                <w:color w:val="222222"/>
                <w:sz w:val="20"/>
                <w:szCs w:val="20"/>
              </w:rPr>
              <w:t xml:space="preserve">Become the world's trusted digital front door to investing in and moving to Dubai — win the international buyer online where nobody else is, get paid six figures per deal, then keep them for life with management and wealth.</w:t>
            </w:r>
          </w:p>
        </w:tc>
      </w:tr>
    </w:tbl>
    <w:p>
      <w:r>
        <w:br w:type="page"/>
      </w:r>
    </w:p>
    <w:p>
      <w:pPr>
        <w:pStyle w:val="Heading1"/>
      </w:pPr>
      <w:r>
        <w:t xml:space="preserve">Appendix A — Naming Note</w:t>
      </w:r>
    </w:p>
    <w:p>
      <w:pPr>
        <w:spacing w:after="140" w:line="274"/>
      </w:pPr>
      <w:r>
        <w:t xml:space="preserve">“The Dubai Gateway” is a descriptive working placeholder. A global consumer brand needs a distinctive, trademark-able mark. Candidates to explore: </w:t>
      </w:r>
      <w:r>
        <w:rPr>
          <w:i/>
          <w:iCs/>
        </w:rPr>
        <w:t xml:space="preserve">Keystone, Meridian, Bawaba (بوابة, “gateway”), Almasa (“diamond”), Onwards, Nexus.</w:t>
      </w:r>
      <w:r>
        <w:t xml:space="preserve"> Run a trademark + domain check before committing.</w:t>
      </w:r>
    </w:p>
    <w:p>
      <w:pPr>
        <w:pStyle w:val="Heading1"/>
      </w:pPr>
      <w:r>
        <w:t xml:space="preserve">Appendix B — Key Sources</w:t>
      </w:r>
    </w:p>
    <w:p>
      <w:pPr>
        <w:spacing w:after="140" w:line="274"/>
      </w:pPr>
      <w:r>
        <w:t xml:space="preserve">Selected primary and analyst sources behind the load-bearing claims. Full URL lists (~90 across four research fronts) are retained in the project research notes.</w:t>
      </w:r>
    </w:p>
    <w:p>
      <w:pPr>
        <w:pStyle w:val="ListParagraph"/>
        <w:numPr>
          <w:ilvl w:val="0"/>
          <w:numId w:val="2"/>
        </w:numPr>
        <w:spacing w:after="60"/>
      </w:pPr>
      <w:hyperlink w:history="1" r:id="rIdhfggd2fm2er3akvecidbz">
        <w:r>
          <w:rPr>
            <w:rStyle w:val="Hyperlink"/>
            <w:sz w:val="18"/>
            <w:szCs w:val="18"/>
          </w:rPr>
          <w:t xml:space="preserve">Dubai 2025 real estate — AED 917B / 270,000+ (Dubai gov) — </w:t>
        </w:r>
      </w:hyperlink>
      <w:r>
        <w:rPr>
          <w:color w:val="55616E"/>
          <w:sz w:val="16"/>
          <w:szCs w:val="16"/>
        </w:rPr>
        <w:t xml:space="preserve">https://dmo.dof.gov.ae/en/news-and-publications/latest-press-releases/dubai-s-real-estate-market-records-new-historic-milestone-with-transactions-exceeding-aed917-billion-usd-2497-bn-in-2025/</w:t>
      </w:r>
    </w:p>
    <w:p>
      <w:pPr>
        <w:pStyle w:val="ListParagraph"/>
        <w:numPr>
          <w:ilvl w:val="0"/>
          <w:numId w:val="2"/>
        </w:numPr>
        <w:spacing w:after="60"/>
      </w:pPr>
      <w:hyperlink w:history="1" r:id="rIdsljhldsfl1nvabmsofsna">
        <w:r>
          <w:rPr>
            <w:rStyle w:val="Hyperlink"/>
            <w:sz w:val="18"/>
            <w:szCs w:val="18"/>
          </w:rPr>
          <w:t xml:space="preserve">Foreign buyers 40%+ ownership / ~65% of transactions — </w:t>
        </w:r>
      </w:hyperlink>
      <w:r>
        <w:rPr>
          <w:color w:val="55616E"/>
          <w:sz w:val="16"/>
          <w:szCs w:val="16"/>
        </w:rPr>
        <w:t xml:space="preserve">https://veersant.com/blog/dubai-property-buyers-by-nationality-2025/</w:t>
      </w:r>
    </w:p>
    <w:p>
      <w:pPr>
        <w:pStyle w:val="ListParagraph"/>
        <w:numPr>
          <w:ilvl w:val="0"/>
          <w:numId w:val="2"/>
        </w:numPr>
        <w:spacing w:after="60"/>
      </w:pPr>
      <w:hyperlink w:history="1" r:id="rIdwqgsc4hveoqi80c9crko-">
        <w:r>
          <w:rPr>
            <w:rStyle w:val="Hyperlink"/>
            <w:sz w:val="18"/>
            <w:szCs w:val="18"/>
          </w:rPr>
          <w:t xml:space="preserve">Off-plan developer commissions 3–7% (buyer pays 0) — </w:t>
        </w:r>
      </w:hyperlink>
      <w:r>
        <w:rPr>
          <w:color w:val="55616E"/>
          <w:sz w:val="16"/>
          <w:szCs w:val="16"/>
        </w:rPr>
        <w:t xml:space="preserve">https://joinoliva.com/en/learn/blog/off-plan-sales-commission-developer-payments</w:t>
      </w:r>
    </w:p>
    <w:p>
      <w:pPr>
        <w:pStyle w:val="ListParagraph"/>
        <w:numPr>
          <w:ilvl w:val="0"/>
          <w:numId w:val="2"/>
        </w:numPr>
        <w:spacing w:after="60"/>
      </w:pPr>
      <w:hyperlink w:history="1" r:id="rId7yidg6o0oq3ng1gkhysdg">
        <w:r>
          <w:rPr>
            <w:rStyle w:val="Hyperlink"/>
            <w:sz w:val="18"/>
            <w:szCs w:val="18"/>
          </w:rPr>
          <w:t xml:space="preserve">Off-plan market ~AED 293B / 134,623 deals (Bayut) — </w:t>
        </w:r>
      </w:hyperlink>
      <w:r>
        <w:rPr>
          <w:color w:val="55616E"/>
          <w:sz w:val="16"/>
          <w:szCs w:val="16"/>
        </w:rPr>
        <w:t xml:space="preserve">https://www.bayut.com/mybayut/dubai-off-plan-property-market-report-2025/</w:t>
      </w:r>
    </w:p>
    <w:p>
      <w:pPr>
        <w:pStyle w:val="ListParagraph"/>
        <w:numPr>
          <w:ilvl w:val="0"/>
          <w:numId w:val="2"/>
        </w:numPr>
        <w:spacing w:after="60"/>
      </w:pPr>
      <w:hyperlink w:history="1" r:id="rId66mwtpghsxc7ed6pbnwg-">
        <w:r>
          <w:rPr>
            <w:rStyle w:val="Hyperlink"/>
            <w:sz w:val="18"/>
            <w:szCs w:val="18"/>
          </w:rPr>
          <w:t xml:space="preserve">huspy $59M Series B / ~25% of Dubai mortgages (TechCrunch) — </w:t>
        </w:r>
      </w:hyperlink>
      <w:r>
        <w:rPr>
          <w:color w:val="55616E"/>
          <w:sz w:val="16"/>
          <w:szCs w:val="16"/>
        </w:rPr>
        <w:t xml:space="preserve">https://techcrunch.com/2025/07/07/uae-proptech-huspy-raises-59m-to-scale-in-europe/</w:t>
      </w:r>
    </w:p>
    <w:p>
      <w:pPr>
        <w:pStyle w:val="ListParagraph"/>
        <w:numPr>
          <w:ilvl w:val="0"/>
          <w:numId w:val="2"/>
        </w:numPr>
        <w:spacing w:after="60"/>
      </w:pPr>
      <w:hyperlink w:history="1" r:id="rId6gtvswmcrqq8hxp7lr6tq">
        <w:r>
          <w:rPr>
            <w:rStyle w:val="Hyperlink"/>
            <w:sz w:val="18"/>
            <w:szCs w:val="18"/>
          </w:rPr>
          <w:t xml:space="preserve">Prypco — General Catalyst-backed, 4 verticals (Wamda) — </w:t>
        </w:r>
      </w:hyperlink>
      <w:r>
        <w:rPr>
          <w:color w:val="55616E"/>
          <w:sz w:val="16"/>
          <w:szCs w:val="16"/>
        </w:rPr>
        <w:t xml:space="preserve">https://www.wamda.com/2025/09/general-catalyst-finances-prypcos-pre-series-a-round</w:t>
      </w:r>
    </w:p>
    <w:p>
      <w:pPr>
        <w:pStyle w:val="ListParagraph"/>
        <w:numPr>
          <w:ilvl w:val="0"/>
          <w:numId w:val="2"/>
        </w:numPr>
        <w:spacing w:after="60"/>
      </w:pPr>
      <w:hyperlink w:history="1" r:id="rId_qjhd5br7culckxw3qbsh">
        <w:r>
          <w:rPr>
            <w:rStyle w:val="Hyperlink"/>
            <w:sz w:val="18"/>
            <w:szCs w:val="18"/>
          </w:rPr>
          <w:t xml:space="preserve">UAE #1 wealth migration — ~9,800 millionaires 2025 (Henley) — </w:t>
        </w:r>
      </w:hyperlink>
      <w:r>
        <w:rPr>
          <w:color w:val="55616E"/>
          <w:sz w:val="16"/>
          <w:szCs w:val="16"/>
        </w:rPr>
        <w:t xml:space="preserve">https://www.henleyglobal.com/newsroom/press-releases/henley-private-wealth-migration-report-2026</w:t>
      </w:r>
    </w:p>
    <w:p>
      <w:pPr>
        <w:pStyle w:val="ListParagraph"/>
        <w:numPr>
          <w:ilvl w:val="0"/>
          <w:numId w:val="2"/>
        </w:numPr>
        <w:spacing w:after="60"/>
      </w:pPr>
      <w:hyperlink w:history="1" r:id="rIdfhkt7ficpjqfzp7fvp1bu">
        <w:r>
          <w:rPr>
            <w:rStyle w:val="Hyperlink"/>
            <w:sz w:val="18"/>
            <w:szCs w:val="18"/>
          </w:rPr>
          <w:t xml:space="preserve">Golden visa scale/criteria (IMI Daily) — </w:t>
        </w:r>
      </w:hyperlink>
      <w:r>
        <w:rPr>
          <w:color w:val="55616E"/>
          <w:sz w:val="16"/>
          <w:szCs w:val="16"/>
        </w:rPr>
        <w:t xml:space="preserve">https://www.imidaily.com/intelligence/uae-golden-visa-approval-volume-doubles-to-158000-in-2023/</w:t>
      </w:r>
    </w:p>
    <w:p>
      <w:pPr>
        <w:pStyle w:val="ListParagraph"/>
        <w:numPr>
          <w:ilvl w:val="0"/>
          <w:numId w:val="2"/>
        </w:numPr>
        <w:spacing w:after="60"/>
      </w:pPr>
      <w:hyperlink w:history="1" r:id="rIdsgjfwhhyuzhh2bplkxgta">
        <w:r>
          <w:rPr>
            <w:rStyle w:val="Hyperlink"/>
            <w:sz w:val="18"/>
            <w:szCs w:val="18"/>
          </w:rPr>
          <w:t xml:space="preserve">Dubai population 4M → 5M by 2030 (Global Media Insight) — </w:t>
        </w:r>
      </w:hyperlink>
      <w:r>
        <w:rPr>
          <w:color w:val="55616E"/>
          <w:sz w:val="16"/>
          <w:szCs w:val="16"/>
        </w:rPr>
        <w:t xml:space="preserve">https://www.globalmediainsight.com/blog/dubai-population-statistics/</w:t>
      </w:r>
    </w:p>
    <w:p>
      <w:pPr>
        <w:pStyle w:val="ListParagraph"/>
        <w:numPr>
          <w:ilvl w:val="0"/>
          <w:numId w:val="2"/>
        </w:numPr>
        <w:spacing w:after="60"/>
      </w:pPr>
      <w:hyperlink w:history="1" r:id="rIdel2h_yh5d_jbmlpqvlewt">
        <w:r>
          <w:rPr>
            <w:rStyle w:val="Hyperlink"/>
            <w:sz w:val="18"/>
            <w:szCs w:val="18"/>
          </w:rPr>
          <w:t xml:space="preserve">MENA VC 2025 ($7.5B; fintech-led) (Wamda) — </w:t>
        </w:r>
      </w:hyperlink>
      <w:r>
        <w:rPr>
          <w:color w:val="55616E"/>
          <w:sz w:val="16"/>
          <w:szCs w:val="16"/>
        </w:rPr>
        <w:t xml:space="preserve">https://www.wamda.com/2026/01/record-year-mena-startups-funding-climbs-7-5-billion-n-2025</w:t>
      </w:r>
    </w:p>
    <w:p>
      <w:pPr>
        <w:pStyle w:val="ListParagraph"/>
        <w:numPr>
          <w:ilvl w:val="0"/>
          <w:numId w:val="2"/>
        </w:numPr>
        <w:spacing w:after="60"/>
      </w:pPr>
      <w:hyperlink w:history="1" r:id="rIdgloyvohakz-i1z36jl88s">
        <w:r>
          <w:rPr>
            <w:rStyle w:val="Hyperlink"/>
            <w:sz w:val="18"/>
            <w:szCs w:val="18"/>
          </w:rPr>
          <w:t xml:space="preserve">Fractional/tokenized context — Stake / Prypco Mint (DLD) — </w:t>
        </w:r>
      </w:hyperlink>
      <w:r>
        <w:rPr>
          <w:color w:val="55616E"/>
          <w:sz w:val="16"/>
          <w:szCs w:val="16"/>
        </w:rPr>
        <w:t xml:space="preserve">https://dubailand.gov.ae/en/news-media/dld-launches-the-mena-s-first-tokenized-real-estate-project-through-the-prypco-mint-platform</w:t>
      </w:r>
    </w:p>
    <w:p>
      <w:pPr>
        <w:pStyle w:val="ListParagraph"/>
        <w:numPr>
          <w:ilvl w:val="0"/>
          <w:numId w:val="2"/>
        </w:numPr>
        <w:spacing w:after="60"/>
      </w:pPr>
      <w:hyperlink w:history="1" r:id="rId0cvwan1xaj6x7hwdwgkxe">
        <w:r>
          <w:rPr>
            <w:rStyle w:val="Hyperlink"/>
            <w:sz w:val="18"/>
            <w:szCs w:val="18"/>
          </w:rPr>
          <w:t xml:space="preserve">RERA brokerage licensing (Engel &amp; Völkers) — </w:t>
        </w:r>
      </w:hyperlink>
      <w:r>
        <w:rPr>
          <w:color w:val="55616E"/>
          <w:sz w:val="16"/>
          <w:szCs w:val="16"/>
        </w:rPr>
        <w:t xml:space="preserve">https://www.engelvoelkers.com/ae/en/resources/real-estate-broker-license-dubai</w:t>
      </w:r>
    </w:p>
    <w:p>
      <w:pPr>
        <w:spacing w:after="100"/>
      </w:pPr>
    </w:p>
    <w:p>
      <w:pPr>
        <w:spacing w:after="140" w:line="274"/>
      </w:pPr>
      <w:r>
        <w:rPr>
          <w:b/>
          <w:bCs/>
          <w:i/>
          <w:iCs/>
        </w:rPr>
        <w:t xml:space="preserve">Note on figures: </w:t>
      </w:r>
      <w:r>
        <w:rPr>
          <w:i/>
          <w:iCs/>
          <w:color w:val="55616E"/>
          <w:sz w:val="18"/>
          <w:szCs w:val="18"/>
        </w:rPr>
        <w:t xml:space="preserve">government transaction totals, fine ranges and funding amounts are from official or primary analyst sources; market sizes, wealth-migration counts, commission-pool sizing and CAC estimates are directional (vendor-sourced or calculated) and should be re-verified before a fundraise.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3" w:sz="4" w:space="4"/>
      </w:pBdr>
      <w:tabs>
        <w:tab w:val="right" w:pos="9026"/>
      </w:tabs>
    </w:pPr>
    <w:r>
      <w:rPr>
        <w:color w:val="55616E"/>
        <w:sz w:val="15"/>
        <w:szCs w:val="15"/>
      </w:rPr>
      <w:t xml:space="preserve">Confidential — prepared for Vatsal</w:t>
    </w:r>
    <w:r>
      <w:rPr>
        <w:sz w:val="15"/>
        <w:szCs w:val="15"/>
      </w:rPr>
      <w:t xml:space="preserve">	</w:t>
    </w:r>
    <w:r>
      <w:rPr>
        <w:color w:val="55616E"/>
        <w:sz w:val="15"/>
        <w:szCs w:val="15"/>
      </w:rPr>
      <w:t xml:space="preserve">Page </w:t>
    </w:r>
    <w:r>
      <w:rPr>
        <w:color w:val="55616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4"/>
      </w:pBdr>
      <w:spacing w:after="0"/>
    </w:pPr>
    <w:r>
      <w:rPr>
        <w:b/>
        <w:bCs/>
        <w:color w:val="10233B"/>
        <w:sz w:val="15"/>
        <w:szCs w:val="15"/>
      </w:rPr>
      <w:t xml:space="preserve">THE DUBAI GATEWAY</w:t>
    </w:r>
    <w:r>
      <w:rPr>
        <w:color w:val="55616E"/>
        <w:sz w:val="15"/>
        <w:szCs w:val="15"/>
      </w:rPr>
      <w:t xml:space="preserve">   ·   Venture Research &amp; Recommendation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8860B"/>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0" w:space="6"/>
      </w:pBdr>
      <w:spacing w:after="160" w:before="260"/>
      <w:outlineLvl w:val="0"/>
    </w:pPr>
    <w:rPr>
      <w:rFonts w:ascii="Calibri" w:cs="Calibri" w:eastAsia="Calibri" w:hAnsi="Calibri"/>
      <w:b/>
      <w:bCs/>
      <w:color w:val="10233B"/>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C6E8C"/>
      <w:sz w:val="25"/>
      <w:szCs w:val="25"/>
    </w:rPr>
  </w:style>
  <w:style w:type="paragraph" w:styleId="Heading3">
    <w:name w:val="Heading 3"/>
    <w:basedOn w:val="Normal"/>
    <w:next w:val="Normal"/>
    <w:qFormat/>
    <w:pPr>
      <w:spacing w:after="70" w:before="150"/>
      <w:outlineLvl w:val="2"/>
    </w:pPr>
    <w:rPr>
      <w:rFonts w:ascii="Calibri" w:cs="Calibri" w:eastAsia="Calibri" w:hAnsi="Calibri"/>
      <w:b/>
      <w:bCs/>
      <w:color w:val="1023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fggd2fm2er3akvecidbz" Type="http://schemas.openxmlformats.org/officeDocument/2006/relationships/hyperlink" Target="https://dmo.dof.gov.ae/en/news-and-publications/latest-press-releases/dubai-s-real-estate-market-records-new-historic-milestone-with-transactions-exceeding-aed917-billion-usd-2497-bn-in-2025/" TargetMode="External"/><Relationship Id="rIdsljhldsfl1nvabmsofsna" Type="http://schemas.openxmlformats.org/officeDocument/2006/relationships/hyperlink" Target="https://veersant.com/blog/dubai-property-buyers-by-nationality-2025/" TargetMode="External"/><Relationship Id="rIdwqgsc4hveoqi80c9crko-" Type="http://schemas.openxmlformats.org/officeDocument/2006/relationships/hyperlink" Target="https://joinoliva.com/en/learn/blog/off-plan-sales-commission-developer-payments" TargetMode="External"/><Relationship Id="rId7yidg6o0oq3ng1gkhysdg" Type="http://schemas.openxmlformats.org/officeDocument/2006/relationships/hyperlink" Target="https://www.bayut.com/mybayut/dubai-off-plan-property-market-report-2025/" TargetMode="External"/><Relationship Id="rId66mwtpghsxc7ed6pbnwg-" Type="http://schemas.openxmlformats.org/officeDocument/2006/relationships/hyperlink" Target="https://techcrunch.com/2025/07/07/uae-proptech-huspy-raises-59m-to-scale-in-europe/" TargetMode="External"/><Relationship Id="rId6gtvswmcrqq8hxp7lr6tq" Type="http://schemas.openxmlformats.org/officeDocument/2006/relationships/hyperlink" Target="https://www.wamda.com/2025/09/general-catalyst-finances-prypcos-pre-series-a-round" TargetMode="External"/><Relationship Id="rId_qjhd5br7culckxw3qbsh" Type="http://schemas.openxmlformats.org/officeDocument/2006/relationships/hyperlink" Target="https://www.henleyglobal.com/newsroom/press-releases/henley-private-wealth-migration-report-2026" TargetMode="External"/><Relationship Id="rIdfhkt7ficpjqfzp7fvp1bu" Type="http://schemas.openxmlformats.org/officeDocument/2006/relationships/hyperlink" Target="https://www.imidaily.com/intelligence/uae-golden-visa-approval-volume-doubles-to-158000-in-2023/" TargetMode="External"/><Relationship Id="rIdsgjfwhhyuzhh2bplkxgta" Type="http://schemas.openxmlformats.org/officeDocument/2006/relationships/hyperlink" Target="https://www.globalmediainsight.com/blog/dubai-population-statistics/" TargetMode="External"/><Relationship Id="rIdel2h_yh5d_jbmlpqvlewt" Type="http://schemas.openxmlformats.org/officeDocument/2006/relationships/hyperlink" Target="https://www.wamda.com/2026/01/record-year-mena-startups-funding-climbs-7-5-billion-n-2025" TargetMode="External"/><Relationship Id="rIdgloyvohakz-i1z36jl88s" Type="http://schemas.openxmlformats.org/officeDocument/2006/relationships/hyperlink" Target="https://dubailand.gov.ae/en/news-media/dld-launches-the-mena-s-first-tokenized-real-estate-project-through-the-prypco-mint-platform" TargetMode="External"/><Relationship Id="rId0cvwan1xaj6x7hwdwgkxe" Type="http://schemas.openxmlformats.org/officeDocument/2006/relationships/hyperlink" Target="https://www.engelvoelkers.com/ae/en/resources/real-estate-broker-license-dubai"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Dubai Gateway — Venture Research &amp; Recommendation</dc:title>
  <dc:creator>Fable (acting CTO)</dc:creator>
  <cp:lastModifiedBy>Un-named</cp:lastModifiedBy>
  <cp:revision>1</cp:revision>
  <dcterms:created xsi:type="dcterms:W3CDTF">2026-07-08T10:02:45.741Z</dcterms:created>
  <dcterms:modified xsi:type="dcterms:W3CDTF">2026-07-08T10:02:45.741Z</dcterms:modified>
</cp:coreProperties>
</file>

<file path=docProps/custom.xml><?xml version="1.0" encoding="utf-8"?>
<Properties xmlns="http://schemas.openxmlformats.org/officeDocument/2006/custom-properties" xmlns:vt="http://schemas.openxmlformats.org/officeDocument/2006/docPropsVTypes"/>
</file>