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A8A8" w14:textId="75F24BEE" w:rsidR="00837F27" w:rsidRDefault="00795DF5">
      <w:pPr>
        <w:pStyle w:val="papertitle"/>
        <w:spacing w:beforeAutospacing="1" w:afterAutospacing="1"/>
        <w:rPr>
          <w:kern w:val="2"/>
        </w:rPr>
      </w:pPr>
      <w:r>
        <w:rPr>
          <w:kern w:val="2"/>
        </w:rPr>
        <w:t>Healthscope A Full-Lifecycle Public Health Analytics and Risk Dashboard</w:t>
      </w:r>
    </w:p>
    <w:p w14:paraId="617BE895" w14:textId="77777777" w:rsidR="00837F27" w:rsidRDefault="00837F27">
      <w:pPr>
        <w:sectPr w:rsidR="00837F27">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699674C4" w14:textId="4BE62DFC" w:rsidR="00837F27" w:rsidRDefault="00290C14">
      <w:pPr>
        <w:pStyle w:val="Author"/>
        <w:spacing w:beforeAutospacing="1"/>
        <w:rPr>
          <w:sz w:val="18"/>
          <w:szCs w:val="18"/>
        </w:rPr>
      </w:pPr>
      <w:r>
        <w:rPr>
          <w:sz w:val="18"/>
          <w:szCs w:val="18"/>
        </w:rPr>
        <w:t>D. Dinesh Kumar</w:t>
      </w:r>
      <w:r>
        <w:rPr>
          <w:sz w:val="18"/>
          <w:szCs w:val="18"/>
        </w:rPr>
        <w:br/>
      </w:r>
      <w:r>
        <w:rPr>
          <w:i/>
          <w:sz w:val="18"/>
          <w:szCs w:val="18"/>
        </w:rPr>
        <w:t>Dept. of Computer Science and Engineering</w:t>
      </w:r>
      <w:r>
        <w:rPr>
          <w:i/>
          <w:sz w:val="18"/>
          <w:szCs w:val="18"/>
        </w:rPr>
        <w:br/>
        <w:t>KL University</w:t>
      </w:r>
      <w:r>
        <w:rPr>
          <w:i/>
          <w:sz w:val="18"/>
          <w:szCs w:val="18"/>
        </w:rPr>
        <w:br/>
      </w:r>
      <w:r>
        <w:rPr>
          <w:sz w:val="18"/>
          <w:szCs w:val="18"/>
        </w:rPr>
        <w:t>Vaddeswaram, India</w:t>
      </w:r>
      <w:r>
        <w:rPr>
          <w:sz w:val="18"/>
          <w:szCs w:val="18"/>
        </w:rPr>
        <w:br/>
        <w:t>University ID: 2420030169</w:t>
      </w:r>
    </w:p>
    <w:p w14:paraId="4C0A7ED6" w14:textId="77777777" w:rsidR="00837F27" w:rsidRDefault="00000000">
      <w:pPr>
        <w:pStyle w:val="Author"/>
        <w:spacing w:beforeAutospacing="1"/>
        <w:rPr>
          <w:sz w:val="18"/>
          <w:szCs w:val="18"/>
        </w:rPr>
      </w:pPr>
      <w:r>
        <w:rPr>
          <w:sz w:val="18"/>
          <w:szCs w:val="18"/>
        </w:rPr>
        <w:t>Dr. N. Sunanda</w:t>
      </w:r>
      <w:r>
        <w:rPr>
          <w:sz w:val="18"/>
          <w:szCs w:val="18"/>
        </w:rPr>
        <w:br/>
      </w:r>
      <w:r>
        <w:rPr>
          <w:i/>
          <w:sz w:val="18"/>
          <w:szCs w:val="18"/>
        </w:rPr>
        <w:t>Project Guide</w:t>
      </w:r>
      <w:r>
        <w:rPr>
          <w:i/>
          <w:sz w:val="18"/>
          <w:szCs w:val="18"/>
        </w:rPr>
        <w:br/>
        <w:t>Dept. of CSE, KL University</w:t>
      </w:r>
      <w:r>
        <w:rPr>
          <w:i/>
          <w:sz w:val="18"/>
          <w:szCs w:val="18"/>
        </w:rPr>
        <w:br/>
      </w:r>
      <w:r>
        <w:rPr>
          <w:sz w:val="18"/>
          <w:szCs w:val="18"/>
        </w:rPr>
        <w:t>Vaddeswaram, India</w:t>
      </w:r>
      <w:r>
        <w:rPr>
          <w:sz w:val="18"/>
          <w:szCs w:val="18"/>
        </w:rPr>
        <w:br/>
      </w:r>
    </w:p>
    <w:p w14:paraId="49B0A657" w14:textId="447E4DF2" w:rsidR="00837F27" w:rsidRDefault="00000000">
      <w:pPr>
        <w:pStyle w:val="Author"/>
        <w:spacing w:beforeAutospacing="1"/>
        <w:rPr>
          <w:sz w:val="18"/>
          <w:szCs w:val="18"/>
        </w:rPr>
      </w:pPr>
      <w:r>
        <w:rPr>
          <w:sz w:val="18"/>
          <w:szCs w:val="18"/>
        </w:rPr>
        <w:br w:type="column"/>
      </w:r>
      <w:r w:rsidR="00290C14">
        <w:rPr>
          <w:sz w:val="18"/>
          <w:szCs w:val="18"/>
        </w:rPr>
        <w:t>Siril Punna</w:t>
      </w:r>
      <w:r>
        <w:rPr>
          <w:sz w:val="18"/>
          <w:szCs w:val="18"/>
        </w:rPr>
        <w:br/>
      </w:r>
      <w:r>
        <w:rPr>
          <w:i/>
          <w:sz w:val="18"/>
          <w:szCs w:val="18"/>
        </w:rPr>
        <w:t>Dept. of Computer Science and Engineering</w:t>
      </w:r>
      <w:r>
        <w:rPr>
          <w:i/>
          <w:sz w:val="18"/>
          <w:szCs w:val="18"/>
        </w:rPr>
        <w:br/>
        <w:t>KL University</w:t>
      </w:r>
      <w:r>
        <w:rPr>
          <w:i/>
          <w:sz w:val="18"/>
          <w:szCs w:val="18"/>
        </w:rPr>
        <w:br/>
      </w:r>
      <w:r>
        <w:rPr>
          <w:sz w:val="18"/>
          <w:szCs w:val="18"/>
        </w:rPr>
        <w:t>Vaddeswaram, India</w:t>
      </w:r>
      <w:r>
        <w:rPr>
          <w:sz w:val="18"/>
          <w:szCs w:val="18"/>
        </w:rPr>
        <w:br/>
        <w:t>University ID: 2420030</w:t>
      </w:r>
      <w:r w:rsidR="00290C14">
        <w:rPr>
          <w:sz w:val="18"/>
          <w:szCs w:val="18"/>
        </w:rPr>
        <w:t>300</w:t>
      </w:r>
    </w:p>
    <w:p w14:paraId="6E93F043" w14:textId="53EC92E5" w:rsidR="00837F27" w:rsidRPr="00290C14" w:rsidRDefault="00000000" w:rsidP="00290C14">
      <w:pPr>
        <w:pStyle w:val="Author"/>
        <w:spacing w:beforeAutospacing="1"/>
        <w:rPr>
          <w:sz w:val="18"/>
          <w:szCs w:val="18"/>
        </w:rPr>
        <w:sectPr w:rsidR="00837F27" w:rsidRPr="00290C14">
          <w:type w:val="continuous"/>
          <w:pgSz w:w="11906" w:h="16838"/>
          <w:pgMar w:top="540" w:right="893" w:bottom="1440" w:left="893" w:header="0" w:footer="720" w:gutter="0"/>
          <w:cols w:num="3" w:space="720"/>
          <w:formProt w:val="0"/>
          <w:titlePg/>
          <w:docGrid w:linePitch="360" w:charSpace="8192"/>
        </w:sectPr>
      </w:pPr>
      <w:r>
        <w:rPr>
          <w:sz w:val="18"/>
          <w:szCs w:val="18"/>
        </w:rPr>
        <w:br w:type="column"/>
      </w:r>
      <w:r w:rsidR="00290C14">
        <w:rPr>
          <w:sz w:val="18"/>
          <w:szCs w:val="18"/>
        </w:rPr>
        <w:t>D. Sri Vastav Reddy</w:t>
      </w:r>
      <w:r>
        <w:rPr>
          <w:sz w:val="18"/>
          <w:szCs w:val="18"/>
        </w:rPr>
        <w:br/>
      </w:r>
      <w:r>
        <w:rPr>
          <w:i/>
          <w:sz w:val="18"/>
          <w:szCs w:val="18"/>
        </w:rPr>
        <w:t>Dept. of Computer Science and Engineering</w:t>
      </w:r>
      <w:r>
        <w:rPr>
          <w:i/>
          <w:sz w:val="18"/>
          <w:szCs w:val="18"/>
        </w:rPr>
        <w:br/>
        <w:t>KL University</w:t>
      </w:r>
      <w:r>
        <w:rPr>
          <w:i/>
          <w:sz w:val="18"/>
          <w:szCs w:val="18"/>
        </w:rPr>
        <w:br/>
      </w:r>
      <w:r>
        <w:rPr>
          <w:sz w:val="18"/>
          <w:szCs w:val="18"/>
        </w:rPr>
        <w:t>Vaddeswaram, India</w:t>
      </w:r>
      <w:r>
        <w:rPr>
          <w:sz w:val="18"/>
          <w:szCs w:val="18"/>
        </w:rPr>
        <w:br/>
        <w:t>University ID: 2420030</w:t>
      </w:r>
      <w:r w:rsidR="00290C14">
        <w:rPr>
          <w:sz w:val="18"/>
          <w:szCs w:val="18"/>
        </w:rPr>
        <w:t>320</w:t>
      </w:r>
    </w:p>
    <w:p w14:paraId="3C751D19" w14:textId="77777777" w:rsidR="00837F27" w:rsidRDefault="00837F27"/>
    <w:p w14:paraId="73EA0B24" w14:textId="77777777" w:rsidR="00837F27" w:rsidRDefault="00000000">
      <w:r>
        <w:br w:type="column"/>
      </w:r>
    </w:p>
    <w:p w14:paraId="74BA53B8" w14:textId="77777777" w:rsidR="00837F27" w:rsidRDefault="00837F27">
      <w:pPr>
        <w:sectPr w:rsidR="00837F27">
          <w:type w:val="continuous"/>
          <w:pgSz w:w="11906" w:h="16838"/>
          <w:pgMar w:top="540" w:right="893" w:bottom="1440" w:left="893" w:header="0" w:footer="720" w:gutter="0"/>
          <w:cols w:num="3" w:space="720"/>
          <w:formProt w:val="0"/>
          <w:titlePg/>
          <w:docGrid w:linePitch="360" w:charSpace="8192"/>
        </w:sectPr>
      </w:pPr>
    </w:p>
    <w:p w14:paraId="2B2AAC90" w14:textId="77777777" w:rsidR="00837F27" w:rsidRDefault="00000000">
      <w:pPr>
        <w:pStyle w:val="Abstract"/>
        <w:rPr>
          <w:i/>
          <w:iCs/>
        </w:rPr>
      </w:pPr>
      <w:r>
        <w:rPr>
          <w:i/>
          <w:iCs/>
        </w:rPr>
        <w:t>Abstract—</w:t>
      </w:r>
      <w:r>
        <w:t>Public health data today is scattered across hospital records, government health surveys, disease-surveillance systems, and wearable and IoT health devices, leaving no unified view of population health risk. Manual, siloed reporting delays the detection of disease outbreaks and rising chronic-illness trends, and existing public-health portals mostly offer static, after-the-fact statistical reports rather than proactive, predictive forecasts. This paper presents HealthScope, a full-lifecycle public health analytics and risk-dashboard platform that ingests multi-source health data, cleans and integrates it through a reproducible Python-based pipeline, and applies machine-learning models—including Random Forest, Support Vector Machines, Logistic Regression, LightGBM, and LSTM networks—to predict disease risk, forecast outbreaks, and classify population risk segments. Processed results are surfaced through an interactive risk dashboard built with Streamlit or Power BI, giving citizens and health officials real-time visibility into regional and demographic-level health risk, supported by automated alerts for threshold breaches and sudden case-count spikes. The system connects to open health-data APIs such as WHO and data.gov, uses a data lake, PostgreSQL, and Redis for storage and caching, and can scale to larger data volumes with Apache Spark. The system illustrates how a unified data-science pipeline can convert scattered, multi-source health data into timely, actionable public-health decision support.</w:t>
      </w:r>
    </w:p>
    <w:p w14:paraId="1F2AC763" w14:textId="77777777" w:rsidR="00837F27" w:rsidRDefault="00000000">
      <w:pPr>
        <w:pStyle w:val="Keywords"/>
      </w:pPr>
      <w:r>
        <w:t>Keywords—Public Health Analytics, Risk Prediction, Machine Learning, Outbreak Forecasting, Data Integration, Predictive Analytics, Real-Time Dashboard, Health Informatics</w:t>
      </w:r>
    </w:p>
    <w:p w14:paraId="472FE7D9" w14:textId="77777777" w:rsidR="00837F27" w:rsidRDefault="00000000">
      <w:pPr>
        <w:pStyle w:val="Heading1"/>
      </w:pPr>
      <w:r>
        <w:t>Introduction</w:t>
      </w:r>
    </w:p>
    <w:p w14:paraId="13DE433B" w14:textId="77777777" w:rsidR="00837F27" w:rsidRDefault="00000000">
      <w:pPr>
        <w:pStyle w:val="BodyText"/>
      </w:pPr>
      <w:r>
        <w:t>Public health agencies today draw on an increasingly fragmented set of data sources: hospital records, national and regional health surveys, disease-surveillance feeds, and a growing volume of data from wearable and IoT health devices. Each source is typically managed by a different system, with little integration between them, which makes it difficult to form a single, current picture of population health risk.</w:t>
      </w:r>
    </w:p>
    <w:p w14:paraId="50C5E847" w14:textId="77777777" w:rsidR="00837F27" w:rsidRDefault="00000000">
      <w:pPr>
        <w:pStyle w:val="BodyText"/>
      </w:pPr>
      <w:r>
        <w:t xml:space="preserve">This fragmentation has real consequences. Manual, siloed reporting delays the detection of disease outbreaks and rising chronic-illness trends, often surfacing risks only after significant harm has already occurred. Existing public-health portals mostly offer static, after-the-fact statistical reports rather than proactive, predictive risk forecasts, and citizens and health officials frequently lack real-time alerts for </w:t>
      </w:r>
      <w:r>
        <w:t>emerging outbreaks, high-risk population segments, or early warning signs across regions.</w:t>
      </w:r>
    </w:p>
    <w:p w14:paraId="536CCE53" w14:textId="77777777" w:rsidR="00837F27" w:rsidRDefault="00000000">
      <w:pPr>
        <w:pStyle w:val="BodyText"/>
      </w:pPr>
      <w:r>
        <w:t>This project builds HealthScope, an end-to-end pipeline that ingests demographic, clinical, environmental, and behavioral health data, cleans and integrates it, applies machine-learning models to assess risk, and presents the results through an interactive dashboard. The goal is not only to produce accurate risk predictions but also to present them in a way that is immediately useful to health officials and the public—through real-time visualizations, regional breakdowns, and automated alerts—so that public-health response can shift from reactive to proactive.</w:t>
      </w:r>
    </w:p>
    <w:p w14:paraId="10341A86" w14:textId="77777777" w:rsidR="00837F27" w:rsidRDefault="00000000">
      <w:pPr>
        <w:pStyle w:val="BodyText"/>
      </w:pPr>
      <w:r>
        <w:t>The remainder of this paper is organized as follows: Section II reviews related work in machine-learning-based public-health risk prediction. Section III describes the proposed methodology, including data collection, preprocessing, feature engineering, and model building. Section IV explains the system architecture. Section V discusses experimental results. Section VI concludes the paper and outlines directions for future work.</w:t>
      </w:r>
    </w:p>
    <w:p w14:paraId="39EA4E63" w14:textId="77777777" w:rsidR="00837F27" w:rsidRDefault="00000000">
      <w:pPr>
        <w:pStyle w:val="Heading1"/>
      </w:pPr>
      <w:r>
        <w:t>Literature Survey</w:t>
      </w:r>
    </w:p>
    <w:p w14:paraId="6CCDFF48" w14:textId="77777777" w:rsidR="00837F27" w:rsidRDefault="00000000">
      <w:pPr>
        <w:pStyle w:val="BodyText"/>
      </w:pPr>
      <w:r>
        <w:t>Machine learning has been applied extensively to public-health risk prediction in recent years, with studies spanning community health outcomes, chronic-disease risk, cardiovascular risk, and broader public-health surveillance.</w:t>
      </w:r>
    </w:p>
    <w:p w14:paraId="35C76CC3" w14:textId="77777777" w:rsidR="00837F27" w:rsidRDefault="00000000">
      <w:pPr>
        <w:pStyle w:val="BodyText"/>
      </w:pPr>
      <w:r>
        <w:t>Wang, Song, and Bi applied a Random Forest algorithm with bootstrap sampling and out-of-bag error estimation to multi-factor community health survey data covering older-adult populations, achieving strong predictive accuracy while ranking the socio-economic and health factors most strongly linked to community health risk. Their approach, however, was validated on a single-population, cross-sectional survey dataset rather than a live, multi-source decision-support system.</w:t>
      </w:r>
    </w:p>
    <w:p w14:paraId="3EA43534" w14:textId="77777777" w:rsidR="00837F27" w:rsidRDefault="00000000">
      <w:pPr>
        <w:pStyle w:val="BodyText"/>
      </w:pPr>
      <w:r>
        <w:t>Chen and Long used SVM-based recursive feature elimination to select fourteen key predictors from more than 26,000 respondents to the 2023 National Health Interview Survey, then built a nomogram-style risk model for arthritis validated through calibration and decision-curve analysis, reaching an AUC of 0.813 with age, general health, BMI, and comorbidities as leading predictors. This work targets a single chronic disease using self-reported survey data and was not evaluated for real-time or multi-disease monitoring.</w:t>
      </w:r>
    </w:p>
    <w:p w14:paraId="3C99E6DB" w14:textId="77777777" w:rsidR="00837F27" w:rsidRDefault="00000000">
      <w:pPr>
        <w:pStyle w:val="BodyText"/>
      </w:pPr>
      <w:r>
        <w:lastRenderedPageBreak/>
        <w:t>Liu, Krentz, Lu, and Curcin conducted a systematic review and meta-analysis of thirty-two machine-learning models against twenty-six conventional statistical models for predicting five- to ten-year cardiovascular disease risk from electronic health records, finding that Random Forest and deep-learning models outperformed traditional risk scores such as QRISK3 and ASCVD, with pooled AUCs of up to 0.865. The authors note substantial variability and limited methodological transparency across the reviewed studies, and none of the reviewed models had been validated for real-world clinical deployment.</w:t>
      </w:r>
    </w:p>
    <w:p w14:paraId="773A26AA" w14:textId="77777777" w:rsidR="00837F27" w:rsidRDefault="00000000">
      <w:pPr>
        <w:pStyle w:val="BodyText"/>
      </w:pPr>
      <w:r>
        <w:t>Dhanda et al. synthesized 170 peer-reviewed studies spanning outbreak surveillance, genomic analytics, personalized medicine, and mental-health monitoring in the post-COVID public-health landscape, reporting that models such as LightGBM, GRU, and LSTM reached 88–95% disease-prediction accuracy across domains. The review concludes that scalable, data-driven infrastructure is still needed to manage the underlying datasets, and that data privacy, algorithmic fairness, and institutional readiness remain open challenges, with no single reviewed system spanning ingestion through a public-facing dashboard. HealthScope draws on these established modeling techniques while addressing the infrastructure and end-to-end integration gap that this body of work consistently identifies.</w:t>
      </w:r>
    </w:p>
    <w:p w14:paraId="0CEA3010" w14:textId="77777777" w:rsidR="00837F27" w:rsidRDefault="00000000">
      <w:pPr>
        <w:pStyle w:val="Heading1"/>
      </w:pPr>
      <w:r>
        <w:t>Proposed Methodology</w:t>
      </w:r>
    </w:p>
    <w:p w14:paraId="0F42834C" w14:textId="77777777" w:rsidR="00837F27" w:rsidRDefault="00000000">
      <w:pPr>
        <w:pStyle w:val="BodyText"/>
      </w:pPr>
      <w:r>
        <w:t>The system is built as a pipeline consisting of five stages: data collection and integration, preprocessing, feature engineering, risk modeling and classification, and dashboard visualization with automated alerting.</w:t>
      </w:r>
    </w:p>
    <w:p w14:paraId="05B3B7E8" w14:textId="77777777" w:rsidR="00837F27" w:rsidRDefault="00000000">
      <w:pPr>
        <w:pStyle w:val="Heading2"/>
      </w:pPr>
      <w:r>
        <w:t>Data Collection and Integration</w:t>
      </w:r>
    </w:p>
    <w:p w14:paraId="5AA2E2B9" w14:textId="77777777" w:rsidR="00837F27" w:rsidRDefault="00000000">
      <w:pPr>
        <w:pStyle w:val="BodyText"/>
      </w:pPr>
      <w:r>
        <w:t>Health data is collected from multiple sources, including hospital records, government health surveys, disease-surveillance feeds, and wearable/IoT health devices, and integrated through open health-data APIs such as WHO and data.gov. Bringing these sources together into a single pipeline ensures that the risk indicators produced by the system reflect a complete, cross-source view of population health rather than a fragmented, single-source snapshot. Each ingested record retains metadata such as timestamp and region, which is later used to construct regional and time-based risk trends.</w:t>
      </w:r>
    </w:p>
    <w:p w14:paraId="35E0A9D3" w14:textId="77777777" w:rsidR="00837F27" w:rsidRDefault="00000000">
      <w:pPr>
        <w:pStyle w:val="Heading2"/>
      </w:pPr>
      <w:r>
        <w:t>Data Preprocessing</w:t>
      </w:r>
    </w:p>
    <w:p w14:paraId="06DFDC99" w14:textId="77777777" w:rsidR="00837F27" w:rsidRDefault="00000000">
      <w:pPr>
        <w:pStyle w:val="BodyText"/>
      </w:pPr>
      <w:r>
        <w:t>Raw multi-source health data is inherently noisy and inconsistently formatted, so a preprocessing pipeline is applied before any feature engineering takes place. This pipeline includes:</w:t>
      </w:r>
    </w:p>
    <w:p w14:paraId="551E7DFF" w14:textId="77777777" w:rsidR="00837F27" w:rsidRDefault="00000000">
      <w:pPr>
        <w:pStyle w:val="bulletlist"/>
      </w:pPr>
      <w:r>
        <w:t>Missing-value handling—imputing or flagging missing clinical and survey fields so that incomplete records do not distort downstream models.</w:t>
      </w:r>
    </w:p>
    <w:p w14:paraId="0DD4841E" w14:textId="77777777" w:rsidR="00837F27" w:rsidRDefault="00000000">
      <w:pPr>
        <w:pStyle w:val="bulletlist"/>
      </w:pPr>
      <w:r>
        <w:t>Normalization and scaling—bringing numeric health indicators (e.g., lab values, vitals) onto comparable scales across data sources.</w:t>
      </w:r>
    </w:p>
    <w:p w14:paraId="2CDD3CA1" w14:textId="77777777" w:rsidR="00837F27" w:rsidRDefault="00000000">
      <w:pPr>
        <w:pStyle w:val="bulletlist"/>
      </w:pPr>
      <w:r>
        <w:t>Outlier detection—identifying implausible or erroneous readings from wearable/IoT devices and clinical records before they enter the modeling stage.</w:t>
      </w:r>
    </w:p>
    <w:p w14:paraId="3E6BBC23" w14:textId="77777777" w:rsidR="00837F27" w:rsidRDefault="00000000">
      <w:pPr>
        <w:pStyle w:val="bulletlist"/>
      </w:pPr>
      <w:r>
        <w:t>Schema and format standardization—reconciling differing field names, units, and coding schemes across hospital records, surveys, and surveillance feeds into a single consistent schema.</w:t>
      </w:r>
    </w:p>
    <w:p w14:paraId="461D67C7" w14:textId="77777777" w:rsidR="00837F27" w:rsidRDefault="00000000">
      <w:pPr>
        <w:pStyle w:val="bulletlist"/>
      </w:pPr>
      <w:r>
        <w:t>Temporal alignment—synchronizing timestamps across sources so that records from different systems can be compared and aggregated over the same time windows.</w:t>
      </w:r>
    </w:p>
    <w:p w14:paraId="712307B2" w14:textId="77777777" w:rsidR="00837F27" w:rsidRDefault="00000000">
      <w:pPr>
        <w:pStyle w:val="BodyText"/>
      </w:pPr>
      <w:r>
        <w:t>This step is critical because health data that is not properly cleaned and aligned tends to introduce noise that reduces the accuracy of downstream risk models, particularly when data is being merged from sources with different collection standards.</w:t>
      </w:r>
    </w:p>
    <w:p w14:paraId="67EB1FAA" w14:textId="77777777" w:rsidR="00837F27" w:rsidRDefault="00000000">
      <w:pPr>
        <w:pStyle w:val="Heading2"/>
      </w:pPr>
      <w:r>
        <w:t>Feature Engineering</w:t>
      </w:r>
    </w:p>
    <w:p w14:paraId="422A9B18" w14:textId="77777777" w:rsidR="00837F27" w:rsidRDefault="00000000">
      <w:pPr>
        <w:pStyle w:val="BodyText"/>
      </w:pPr>
      <w:r>
        <w:t>Once cleaned and integrated, the data is transformed into features suitable for machine-learning models. Three main categories are considered:</w:t>
      </w:r>
    </w:p>
    <w:p w14:paraId="778CB57E" w14:textId="77777777" w:rsidR="00837F27" w:rsidRDefault="00000000">
      <w:pPr>
        <w:pStyle w:val="bulletlist"/>
      </w:pPr>
      <w:r>
        <w:t>Demographic and clinical features—age, sex, comorbidities, vitals, and lab indicators drawn from hospital records and surveys.</w:t>
      </w:r>
    </w:p>
    <w:p w14:paraId="6C1B9171" w14:textId="77777777" w:rsidR="00837F27" w:rsidRDefault="00000000">
      <w:pPr>
        <w:pStyle w:val="bulletlist"/>
      </w:pPr>
      <w:r>
        <w:t>Environmental and behavioral features—region-level environmental indicators and behavioral signals (e.g., activity levels from wearable devices) that contribute to health risk.</w:t>
      </w:r>
    </w:p>
    <w:p w14:paraId="78A780D4" w14:textId="77777777" w:rsidR="00837F27" w:rsidRDefault="00000000">
      <w:pPr>
        <w:pStyle w:val="bulletlist"/>
      </w:pPr>
      <w:r>
        <w:t>Time-series and trend features—rolling case counts, indicator trends, and rate-of-change measures derived from surveillance feeds, used to support outbreak forecasting rather than single-point risk classification.</w:t>
      </w:r>
    </w:p>
    <w:p w14:paraId="4D062AB1" w14:textId="77777777" w:rsidR="00837F27" w:rsidRDefault="00000000">
      <w:pPr>
        <w:pStyle w:val="BodyText"/>
      </w:pPr>
      <w:r>
        <w:t>Traditional machine-learning models in this project use the demographic and clinical feature set directly, while the outbreak-forecasting models operate primarily on the time-series features.</w:t>
      </w:r>
    </w:p>
    <w:p w14:paraId="00A0B4E0" w14:textId="77777777" w:rsidR="00837F27" w:rsidRDefault="00000000">
      <w:pPr>
        <w:pStyle w:val="Heading2"/>
      </w:pPr>
      <w:r>
        <w:t>Risk Modeling and Classification</w:t>
      </w:r>
    </w:p>
    <w:p w14:paraId="3047B06B" w14:textId="77777777" w:rsidR="00837F27" w:rsidRDefault="00000000">
      <w:pPr>
        <w:pStyle w:val="BodyText"/>
      </w:pPr>
      <w:r>
        <w:t>Two categories of models are trained and compared:</w:t>
      </w:r>
    </w:p>
    <w:p w14:paraId="4947D7CE" w14:textId="77777777" w:rsidR="00837F27" w:rsidRDefault="00000000">
      <w:pPr>
        <w:pStyle w:val="bulletlist"/>
      </w:pPr>
      <w:r>
        <w:t>Traditional machine-learning classifiers—Random Forest, Support Vector Machines (SVM), and Logistic Regression, trained on demographic and clinical features. These models are computationally efficient, interpretable, and serve as a strong baseline for risk-segment classification.</w:t>
      </w:r>
    </w:p>
    <w:p w14:paraId="642EE47F" w14:textId="77777777" w:rsidR="00837F27" w:rsidRDefault="00000000">
      <w:pPr>
        <w:pStyle w:val="bulletlist"/>
      </w:pPr>
      <w:r>
        <w:t>Advanced classifiers—LightGBM for high-accuracy tabular risk prediction, and LSTM networks, which capture sequential dependencies in surveillance time-series data to support outbreak forecasting, an area where prior work identifies the largest accuracy gains over traditional models.</w:t>
      </w:r>
    </w:p>
    <w:p w14:paraId="7600B872" w14:textId="77777777" w:rsidR="00837F27" w:rsidRDefault="00000000">
      <w:pPr>
        <w:pStyle w:val="BodyText"/>
      </w:pPr>
      <w:r>
        <w:t>Each model is trained to assign a population segment or individual record to a risk category—low, medium, or high—for a given health indicator. The trade-offs between the two categories of models (training time, interpretability, and accuracy) are examined so that the most suitable model for each indicator and use case can be identified.</w:t>
      </w:r>
    </w:p>
    <w:p w14:paraId="14B0E53A" w14:textId="77777777" w:rsidR="00837F27" w:rsidRDefault="00000000">
      <w:pPr>
        <w:pStyle w:val="Heading2"/>
      </w:pPr>
      <w:r>
        <w:t>Dashboard Visualization and Alerting</w:t>
      </w:r>
    </w:p>
    <w:p w14:paraId="6156A6A1" w14:textId="77777777" w:rsidR="00837F27" w:rsidRDefault="00000000">
      <w:pPr>
        <w:pStyle w:val="BodyText"/>
      </w:pPr>
      <w:r>
        <w:t>The classified risk outputs are aggregated and presented using several visualization and alerting mechanisms:</w:t>
      </w:r>
    </w:p>
    <w:p w14:paraId="5443500B" w14:textId="77777777" w:rsidR="00837F27" w:rsidRDefault="00000000">
      <w:pPr>
        <w:pStyle w:val="bulletlist"/>
      </w:pPr>
      <w:r>
        <w:t>Interactive risk maps and dashboards showing regional and demographic-level health risk, built with Streamlit or Power BI.</w:t>
      </w:r>
    </w:p>
    <w:p w14:paraId="3562A2DE" w14:textId="77777777" w:rsidR="00837F27" w:rsidRDefault="00000000">
      <w:pPr>
        <w:pStyle w:val="bulletlist"/>
      </w:pPr>
      <w:r>
        <w:t>Trend charts comparing risk levels and case counts across regions and time periods.</w:t>
      </w:r>
    </w:p>
    <w:p w14:paraId="240EF591" w14:textId="77777777" w:rsidR="00837F27" w:rsidRDefault="00000000">
      <w:pPr>
        <w:pStyle w:val="bulletlist"/>
      </w:pPr>
      <w:r>
        <w:lastRenderedPageBreak/>
        <w:t>Automated alerts triggered by high-risk threshold breaches or sudden case-count spikes in the surveillance feeds.</w:t>
      </w:r>
    </w:p>
    <w:p w14:paraId="6CEF8A20" w14:textId="77777777" w:rsidR="00837F27" w:rsidRDefault="00000000">
      <w:pPr>
        <w:pStyle w:val="bulletlist"/>
      </w:pPr>
      <w:r>
        <w:t>Drill-down views allowing health officials to inspect risk by region, demographic segment, or health indicator.</w:t>
      </w:r>
    </w:p>
    <w:p w14:paraId="3C92CE48" w14:textId="77777777" w:rsidR="00837F27" w:rsidRDefault="00000000">
      <w:pPr>
        <w:pStyle w:val="BodyText"/>
      </w:pPr>
      <w:r>
        <w:t>These outputs translate the raw model predictions into an interpretable, real-time summary of public-health risk for both officials and citizens.</w:t>
      </w:r>
    </w:p>
    <w:p w14:paraId="67008648" w14:textId="77777777" w:rsidR="00837F27" w:rsidRDefault="00000000">
      <w:pPr>
        <w:pStyle w:val="Heading1"/>
      </w:pPr>
      <w:r>
        <w:t>System Architecture</w:t>
      </w:r>
    </w:p>
    <w:p w14:paraId="1A2C681A" w14:textId="77777777" w:rsidR="00837F27" w:rsidRDefault="00000000">
      <w:pPr>
        <w:pStyle w:val="BodyText"/>
      </w:pPr>
      <w:r>
        <w:t>The overall system follows a full-lifecycle pipeline architecture. Health data is ingested from hospital records, surveys, surveillance feeds, and IoT devices, then passed through the preprocessing module, which outputs cleaned, standardized records into a data lake and a PostgreSQL store, with Redis used for caching frequently accessed indicators. This cleaned data is passed to the feature-engineering module, which produces the demographic, clinical, environmental, and time-series feature sets described above. These feature sets are fed into the risk-modeling module, where the trained models assign risk categories or outbreak forecasts. Apache Spark supports scale-up processing as data volume grows. Finally, the risk outputs are passed to the dashboard and alerting module, which renders the interactive visualizations and triggers automated alerts described above.</w:t>
      </w:r>
    </w:p>
    <w:p w14:paraId="34A26F29" w14:textId="77777777" w:rsidR="00837F27" w:rsidRDefault="00000000">
      <w:pPr>
        <w:pStyle w:val="BodyText"/>
      </w:pPr>
      <w:r>
        <w:t>This modular design allows individual components—for example, the risk-classification model—to be swapped or upgraded (e.g., replacing Logistic Regression with LightGBM) without requiring changes to the rest of the pipeline, making the system flexible for extension to new health indicators, diseases, and regions.</w:t>
      </w:r>
    </w:p>
    <w:p w14:paraId="568F36D5" w14:textId="77777777" w:rsidR="00837F27" w:rsidRDefault="00000000">
      <w:pPr>
        <w:pStyle w:val="Heading1"/>
      </w:pPr>
      <w:r>
        <w:t>Results and Discussion</w:t>
      </w:r>
    </w:p>
    <w:p w14:paraId="4F377965" w14:textId="77777777" w:rsidR="00837F27" w:rsidRDefault="00000000">
      <w:pPr>
        <w:pStyle w:val="BodyText"/>
        <w:rPr>
          <w:i/>
          <w:iCs/>
        </w:rPr>
      </w:pPr>
      <w:r>
        <w:rPr>
          <w:i/>
          <w:iCs/>
        </w:rPr>
        <w:t>[This section should be completed with your actual experimental results. The structure and phrasing below is provided as a guide—replace the placeholders with your real numbers, tables, and screenshots from your implementation.]</w:t>
      </w:r>
    </w:p>
    <w:p w14:paraId="1E3906BD" w14:textId="77777777" w:rsidR="00837F27" w:rsidRDefault="00000000">
      <w:pPr>
        <w:pStyle w:val="BodyText"/>
      </w:pPr>
      <w:r>
        <w:t xml:space="preserve">The dataset used for evaluation consisted of </w:t>
      </w:r>
      <w:r>
        <w:rPr>
          <w:b/>
          <w:bCs/>
        </w:rPr>
        <w:t>[insert number]</w:t>
      </w:r>
      <w:r>
        <w:t xml:space="preserve"> health records collected across </w:t>
      </w:r>
      <w:r>
        <w:rPr>
          <w:b/>
          <w:bCs/>
        </w:rPr>
        <w:t>[insert region/data source]</w:t>
      </w:r>
      <w:r>
        <w:t xml:space="preserve">, split into training and test sets in a </w:t>
      </w:r>
      <w:r>
        <w:rPr>
          <w:b/>
          <w:bCs/>
        </w:rPr>
        <w:t>[insert ratio, e.g., 80:20]</w:t>
      </w:r>
      <w:r>
        <w:t xml:space="preserve"> ratio. Each model described in Section III was trained on the same training split and evaluated on the same held-out test set to ensure a fair comparison.</w:t>
      </w:r>
    </w:p>
    <w:p w14:paraId="0CC43B7B" w14:textId="77777777" w:rsidR="00837F27" w:rsidRDefault="00000000">
      <w:pPr>
        <w:pStyle w:val="BodyText"/>
      </w:pPr>
      <w:r>
        <w:t>Table 1 summarizes the performance of each model across the four evaluation metrics—accuracy, precision, recall, and F1-score.</w:t>
      </w:r>
    </w:p>
    <w:p w14:paraId="5F2AA7B6" w14:textId="77777777" w:rsidR="00837F27" w:rsidRDefault="00000000">
      <w:pPr>
        <w:pStyle w:val="tablehead"/>
      </w:pPr>
      <w:r>
        <w:t>Model Performance Comparison</w:t>
      </w:r>
    </w:p>
    <w:tbl>
      <w:tblPr>
        <w:tblW w:w="4860" w:type="dxa"/>
        <w:jc w:val="center"/>
        <w:tblLayout w:type="fixed"/>
        <w:tblLook w:val="0000" w:firstRow="0" w:lastRow="0" w:firstColumn="0" w:lastColumn="0" w:noHBand="0" w:noVBand="0"/>
      </w:tblPr>
      <w:tblGrid>
        <w:gridCol w:w="1200"/>
        <w:gridCol w:w="915"/>
        <w:gridCol w:w="915"/>
        <w:gridCol w:w="915"/>
        <w:gridCol w:w="915"/>
      </w:tblGrid>
      <w:tr w:rsidR="00837F27" w14:paraId="1910702D" w14:textId="77777777">
        <w:trPr>
          <w:cantSplit/>
          <w:tblHeade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0270DCA5" w14:textId="77777777" w:rsidR="00837F27" w:rsidRDefault="00000000">
            <w:pPr>
              <w:pStyle w:val="tablecopy"/>
              <w:jc w:val="center"/>
              <w:rPr>
                <w:b/>
                <w:bCs/>
              </w:rPr>
            </w:pPr>
            <w:r>
              <w:rPr>
                <w:b/>
                <w:bCs/>
              </w:rPr>
              <w:t>Model</w:t>
            </w:r>
          </w:p>
        </w:tc>
        <w:tc>
          <w:tcPr>
            <w:tcW w:w="915" w:type="dxa"/>
            <w:tcBorders>
              <w:top w:val="single" w:sz="2" w:space="0" w:color="000000"/>
              <w:left w:val="single" w:sz="2" w:space="0" w:color="000000"/>
              <w:bottom w:val="single" w:sz="2" w:space="0" w:color="000000"/>
              <w:right w:val="single" w:sz="2" w:space="0" w:color="000000"/>
            </w:tcBorders>
            <w:vAlign w:val="center"/>
          </w:tcPr>
          <w:p w14:paraId="3ECD4C28" w14:textId="77777777" w:rsidR="00837F27" w:rsidRDefault="00000000">
            <w:pPr>
              <w:pStyle w:val="tablecopy"/>
              <w:jc w:val="center"/>
              <w:rPr>
                <w:b/>
                <w:bCs/>
              </w:rPr>
            </w:pPr>
            <w:r>
              <w:rPr>
                <w:b/>
                <w:bCs/>
              </w:rPr>
              <w:t>Accuracy</w:t>
            </w:r>
          </w:p>
        </w:tc>
        <w:tc>
          <w:tcPr>
            <w:tcW w:w="915" w:type="dxa"/>
            <w:tcBorders>
              <w:top w:val="single" w:sz="2" w:space="0" w:color="000000"/>
              <w:left w:val="single" w:sz="2" w:space="0" w:color="000000"/>
              <w:bottom w:val="single" w:sz="2" w:space="0" w:color="000000"/>
              <w:right w:val="single" w:sz="2" w:space="0" w:color="000000"/>
            </w:tcBorders>
            <w:vAlign w:val="center"/>
          </w:tcPr>
          <w:p w14:paraId="64EF666F" w14:textId="77777777" w:rsidR="00837F27" w:rsidRDefault="00000000">
            <w:pPr>
              <w:pStyle w:val="tablecopy"/>
              <w:jc w:val="center"/>
              <w:rPr>
                <w:b/>
                <w:bCs/>
              </w:rPr>
            </w:pPr>
            <w:r>
              <w:rPr>
                <w:b/>
                <w:bCs/>
              </w:rPr>
              <w:t>Precision</w:t>
            </w:r>
          </w:p>
        </w:tc>
        <w:tc>
          <w:tcPr>
            <w:tcW w:w="915" w:type="dxa"/>
            <w:tcBorders>
              <w:top w:val="single" w:sz="2" w:space="0" w:color="000000"/>
              <w:left w:val="single" w:sz="2" w:space="0" w:color="000000"/>
              <w:bottom w:val="single" w:sz="2" w:space="0" w:color="000000"/>
              <w:right w:val="single" w:sz="2" w:space="0" w:color="000000"/>
            </w:tcBorders>
            <w:vAlign w:val="center"/>
          </w:tcPr>
          <w:p w14:paraId="4F39A13E" w14:textId="77777777" w:rsidR="00837F27" w:rsidRDefault="00000000">
            <w:pPr>
              <w:pStyle w:val="tablecopy"/>
              <w:jc w:val="center"/>
              <w:rPr>
                <w:b/>
                <w:bCs/>
              </w:rPr>
            </w:pPr>
            <w:r>
              <w:rPr>
                <w:b/>
                <w:bCs/>
              </w:rPr>
              <w:t>Recall</w:t>
            </w:r>
          </w:p>
        </w:tc>
        <w:tc>
          <w:tcPr>
            <w:tcW w:w="915" w:type="dxa"/>
            <w:tcBorders>
              <w:top w:val="single" w:sz="2" w:space="0" w:color="000000"/>
              <w:left w:val="single" w:sz="2" w:space="0" w:color="000000"/>
              <w:bottom w:val="single" w:sz="2" w:space="0" w:color="000000"/>
              <w:right w:val="single" w:sz="2" w:space="0" w:color="000000"/>
            </w:tcBorders>
            <w:vAlign w:val="center"/>
          </w:tcPr>
          <w:p w14:paraId="70EB9718" w14:textId="77777777" w:rsidR="00837F27" w:rsidRDefault="00000000">
            <w:pPr>
              <w:pStyle w:val="tablecopy"/>
              <w:jc w:val="center"/>
              <w:rPr>
                <w:b/>
                <w:bCs/>
              </w:rPr>
            </w:pPr>
            <w:r>
              <w:rPr>
                <w:b/>
                <w:bCs/>
              </w:rPr>
              <w:t>F1-Score</w:t>
            </w:r>
          </w:p>
        </w:tc>
      </w:tr>
      <w:tr w:rsidR="00837F27" w14:paraId="0492D57B"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26AC3CF3" w14:textId="77777777" w:rsidR="00837F27" w:rsidRDefault="00000000">
            <w:pPr>
              <w:pStyle w:val="tablecopy"/>
              <w:jc w:val="center"/>
            </w:pPr>
            <w:r>
              <w:t>Random Forest</w:t>
            </w:r>
          </w:p>
        </w:tc>
        <w:tc>
          <w:tcPr>
            <w:tcW w:w="915" w:type="dxa"/>
            <w:tcBorders>
              <w:top w:val="single" w:sz="2" w:space="0" w:color="000000"/>
              <w:left w:val="single" w:sz="2" w:space="0" w:color="000000"/>
              <w:bottom w:val="single" w:sz="2" w:space="0" w:color="000000"/>
              <w:right w:val="single" w:sz="2" w:space="0" w:color="000000"/>
            </w:tcBorders>
            <w:vAlign w:val="center"/>
          </w:tcPr>
          <w:p w14:paraId="38AAFE82"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12F29EF7"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00C92620"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3FC85C89" w14:textId="77777777" w:rsidR="00837F27" w:rsidRDefault="00000000">
            <w:pPr>
              <w:pStyle w:val="tablecopy"/>
              <w:jc w:val="center"/>
            </w:pPr>
            <w:r>
              <w:t>[insert]</w:t>
            </w:r>
          </w:p>
        </w:tc>
      </w:tr>
      <w:tr w:rsidR="00837F27" w14:paraId="24717D2B"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1014893B" w14:textId="77777777" w:rsidR="00837F27" w:rsidRDefault="00000000">
            <w:pPr>
              <w:pStyle w:val="tablecopy"/>
              <w:jc w:val="center"/>
            </w:pPr>
            <w:r>
              <w:t>SVM</w:t>
            </w:r>
          </w:p>
        </w:tc>
        <w:tc>
          <w:tcPr>
            <w:tcW w:w="915" w:type="dxa"/>
            <w:tcBorders>
              <w:top w:val="single" w:sz="2" w:space="0" w:color="000000"/>
              <w:left w:val="single" w:sz="2" w:space="0" w:color="000000"/>
              <w:bottom w:val="single" w:sz="2" w:space="0" w:color="000000"/>
              <w:right w:val="single" w:sz="2" w:space="0" w:color="000000"/>
            </w:tcBorders>
            <w:vAlign w:val="center"/>
          </w:tcPr>
          <w:p w14:paraId="7EE16316"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27A34E36"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3EFC33FA"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6C62C6CC" w14:textId="77777777" w:rsidR="00837F27" w:rsidRDefault="00000000">
            <w:pPr>
              <w:pStyle w:val="tablecopy"/>
              <w:jc w:val="center"/>
            </w:pPr>
            <w:r>
              <w:t>[insert]</w:t>
            </w:r>
          </w:p>
        </w:tc>
      </w:tr>
      <w:tr w:rsidR="00837F27" w14:paraId="61FEB65E"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30DB943E" w14:textId="77777777" w:rsidR="00837F27" w:rsidRDefault="00000000">
            <w:pPr>
              <w:pStyle w:val="tablecopy"/>
              <w:jc w:val="center"/>
            </w:pPr>
            <w:r>
              <w:t>Logistic Regression</w:t>
            </w:r>
          </w:p>
        </w:tc>
        <w:tc>
          <w:tcPr>
            <w:tcW w:w="915" w:type="dxa"/>
            <w:tcBorders>
              <w:top w:val="single" w:sz="2" w:space="0" w:color="000000"/>
              <w:left w:val="single" w:sz="2" w:space="0" w:color="000000"/>
              <w:bottom w:val="single" w:sz="2" w:space="0" w:color="000000"/>
              <w:right w:val="single" w:sz="2" w:space="0" w:color="000000"/>
            </w:tcBorders>
            <w:vAlign w:val="center"/>
          </w:tcPr>
          <w:p w14:paraId="72D2DC25"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1E547E8A"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2A873ACB"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20E73C3D" w14:textId="77777777" w:rsidR="00837F27" w:rsidRDefault="00000000">
            <w:pPr>
              <w:pStyle w:val="tablecopy"/>
              <w:jc w:val="center"/>
            </w:pPr>
            <w:r>
              <w:t>[insert]</w:t>
            </w:r>
          </w:p>
        </w:tc>
      </w:tr>
      <w:tr w:rsidR="00837F27" w14:paraId="3C9AF9A6"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03A7158F" w14:textId="77777777" w:rsidR="00837F27" w:rsidRDefault="00000000">
            <w:pPr>
              <w:pStyle w:val="tablecopy"/>
              <w:jc w:val="center"/>
            </w:pPr>
            <w:r>
              <w:t>LightGBM</w:t>
            </w:r>
          </w:p>
        </w:tc>
        <w:tc>
          <w:tcPr>
            <w:tcW w:w="915" w:type="dxa"/>
            <w:tcBorders>
              <w:top w:val="single" w:sz="2" w:space="0" w:color="000000"/>
              <w:left w:val="single" w:sz="2" w:space="0" w:color="000000"/>
              <w:bottom w:val="single" w:sz="2" w:space="0" w:color="000000"/>
              <w:right w:val="single" w:sz="2" w:space="0" w:color="000000"/>
            </w:tcBorders>
            <w:vAlign w:val="center"/>
          </w:tcPr>
          <w:p w14:paraId="3BF2C785"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6BDD1879"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1C00CE06"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65EC7D97" w14:textId="77777777" w:rsidR="00837F27" w:rsidRDefault="00000000">
            <w:pPr>
              <w:pStyle w:val="tablecopy"/>
              <w:jc w:val="center"/>
            </w:pPr>
            <w:r>
              <w:t>[insert]</w:t>
            </w:r>
          </w:p>
        </w:tc>
      </w:tr>
      <w:tr w:rsidR="00837F27" w14:paraId="722DD1E2" w14:textId="77777777">
        <w:trPr>
          <w:jc w:val="center"/>
        </w:trPr>
        <w:tc>
          <w:tcPr>
            <w:tcW w:w="1200" w:type="dxa"/>
            <w:tcBorders>
              <w:top w:val="single" w:sz="2" w:space="0" w:color="000000"/>
              <w:left w:val="single" w:sz="2" w:space="0" w:color="000000"/>
              <w:bottom w:val="single" w:sz="2" w:space="0" w:color="000000"/>
              <w:right w:val="single" w:sz="2" w:space="0" w:color="000000"/>
            </w:tcBorders>
            <w:vAlign w:val="center"/>
          </w:tcPr>
          <w:p w14:paraId="20682F72" w14:textId="77777777" w:rsidR="00837F27" w:rsidRDefault="00000000">
            <w:pPr>
              <w:pStyle w:val="tablecopy"/>
              <w:jc w:val="center"/>
            </w:pPr>
            <w:r>
              <w:t>LSTM</w:t>
            </w:r>
          </w:p>
        </w:tc>
        <w:tc>
          <w:tcPr>
            <w:tcW w:w="915" w:type="dxa"/>
            <w:tcBorders>
              <w:top w:val="single" w:sz="2" w:space="0" w:color="000000"/>
              <w:left w:val="single" w:sz="2" w:space="0" w:color="000000"/>
              <w:bottom w:val="single" w:sz="2" w:space="0" w:color="000000"/>
              <w:right w:val="single" w:sz="2" w:space="0" w:color="000000"/>
            </w:tcBorders>
            <w:vAlign w:val="center"/>
          </w:tcPr>
          <w:p w14:paraId="57F0EF98"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5124897D"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01BB5023" w14:textId="77777777" w:rsidR="00837F27" w:rsidRDefault="00000000">
            <w:pPr>
              <w:pStyle w:val="tablecopy"/>
              <w:jc w:val="center"/>
            </w:pPr>
            <w:r>
              <w:t>[insert]</w:t>
            </w:r>
          </w:p>
        </w:tc>
        <w:tc>
          <w:tcPr>
            <w:tcW w:w="915" w:type="dxa"/>
            <w:tcBorders>
              <w:top w:val="single" w:sz="2" w:space="0" w:color="000000"/>
              <w:left w:val="single" w:sz="2" w:space="0" w:color="000000"/>
              <w:bottom w:val="single" w:sz="2" w:space="0" w:color="000000"/>
              <w:right w:val="single" w:sz="2" w:space="0" w:color="000000"/>
            </w:tcBorders>
            <w:vAlign w:val="center"/>
          </w:tcPr>
          <w:p w14:paraId="09FE0C62" w14:textId="77777777" w:rsidR="00837F27" w:rsidRDefault="00000000">
            <w:pPr>
              <w:pStyle w:val="tablecopy"/>
              <w:jc w:val="center"/>
            </w:pPr>
            <w:r>
              <w:t>[insert]</w:t>
            </w:r>
          </w:p>
        </w:tc>
      </w:tr>
    </w:tbl>
    <w:p w14:paraId="62D9CA78" w14:textId="77777777" w:rsidR="00837F27" w:rsidRDefault="00837F27">
      <w:pPr>
        <w:pStyle w:val="BodyText"/>
      </w:pPr>
    </w:p>
    <w:p w14:paraId="58394691" w14:textId="77777777" w:rsidR="00837F27" w:rsidRDefault="00000000">
      <w:pPr>
        <w:pStyle w:val="BodyText"/>
      </w:pPr>
      <w:r>
        <w:t>Consistent with prior work discussed in Section II, the traditional machine-learning models are expected to train significantly faster and require fewer computational resources, making them a reasonable choice when quick turnaround is needed or resources are limited. The advanced models, particularly LightGBM and LSTM, are expected to achieve higher accuracy on outbreak-forecasting and time-</w:t>
      </w:r>
      <w:r>
        <w:t>series risk tasks, at the cost of longer training time and greater computational requirements.</w:t>
      </w:r>
    </w:p>
    <w:p w14:paraId="285514E0" w14:textId="77777777" w:rsidR="00837F27" w:rsidRDefault="00000000">
      <w:pPr>
        <w:pStyle w:val="BodyText"/>
      </w:pPr>
      <w:r>
        <w:t>The risk-dashboard outputs (Fig. 1 and Fig. 2) show the overall distribution of low-, medium-, and high-risk population segments for the chosen region, while the trend chart (Fig. 3) illustrates how regional health risk shifted over the observation period—for instance, in response to a specific outbreak or seasonal event. The alert log (Fig. 4) highlights the threshold breaches and case-count spikes flagged during the evaluation period, offering an at-a-glance summary of where automated alerts were triggered.</w:t>
      </w:r>
    </w:p>
    <w:p w14:paraId="630E93F0" w14:textId="77777777" w:rsidR="00837F27" w:rsidRDefault="00000000">
      <w:pPr>
        <w:pStyle w:val="BodyText"/>
        <w:rPr>
          <w:i/>
          <w:iCs/>
        </w:rPr>
      </w:pPr>
      <w:r>
        <w:rPr>
          <w:i/>
          <w:iCs/>
        </w:rPr>
        <w:t>(Insert your actual figures here: Fig. 1—Risk-segment distribution chart; Fig. 2—Model comparison bar graph; Fig. 3—Regional risk trend over time; Fig. 4—Automated alert log by region.)</w:t>
      </w:r>
    </w:p>
    <w:p w14:paraId="414E51BA" w14:textId="77777777" w:rsidR="00837F27" w:rsidRDefault="00000000">
      <w:pPr>
        <w:pStyle w:val="Heading1"/>
      </w:pPr>
      <w:r>
        <w:t>Conclusion and Future Scope</w:t>
      </w:r>
    </w:p>
    <w:p w14:paraId="74A229DA" w14:textId="77777777" w:rsidR="00837F27" w:rsidRDefault="00000000">
      <w:pPr>
        <w:pStyle w:val="BodyText"/>
      </w:pPr>
      <w:r>
        <w:t>This project demonstrates an end-to-end pipeline for public health analytics and risk prediction, covering multi-source data collection, preprocessing, feature engineering, model training, and real-time dashboard visualization. By comparing traditional machine-learning classifiers against more advanced models such as LightGBM and LSTM, the project highlights the trade-offs between simplicity and accuracy that are relevant when choosing a risk-modeling approach for a real-world public-health application. The dashboard and alerting outputs make the results accessible to health officials and citizens without a technical background, which is important for practical applications such as outbreak detection, chronic-disease risk monitoring, resource allocation, and public-health policy planning.</w:t>
      </w:r>
    </w:p>
    <w:p w14:paraId="0C2C95DF" w14:textId="77777777" w:rsidR="00837F27" w:rsidRDefault="00000000">
      <w:pPr>
        <w:pStyle w:val="BodyText"/>
      </w:pPr>
      <w:r>
        <w:t>Future work could extend this system in several directions. Incorporating additional health-data APIs and IoT device types would broaden the range of indicators the system can track. The system could also be extended to support multilingual dashboards and region-specific alert thresholds to improve usability across diverse populations. Deeper integration of genomic and environmental data could improve long-term chronic-disease risk prediction. Finally, deploying the pipeline with continuous streaming ingestion, rather than periodic batch updates, would allow health officials to monitor emerging risks as they develop rather than after the fact.</w:t>
      </w:r>
    </w:p>
    <w:p w14:paraId="257E414A" w14:textId="77777777" w:rsidR="00837F27" w:rsidRDefault="00000000">
      <w:pPr>
        <w:pStyle w:val="Heading5"/>
      </w:pPr>
      <w:r>
        <w:t>References</w:t>
      </w:r>
    </w:p>
    <w:p w14:paraId="779B6CFA" w14:textId="77777777" w:rsidR="00837F27" w:rsidRDefault="00000000">
      <w:pPr>
        <w:pStyle w:val="references"/>
        <w:ind w:left="354" w:hanging="354"/>
      </w:pPr>
      <w:r>
        <w:t>H. Wang, Y. Song, and H. Bi, “Optimizing Public Health Management with Predictive Analytics: Leveraging the Power of Random Forest,” Frontiers in Big Data, vol. 8, art. 1574683, Jul. 2025.</w:t>
      </w:r>
    </w:p>
    <w:p w14:paraId="20B09C66" w14:textId="77777777" w:rsidR="00837F27" w:rsidRDefault="00000000">
      <w:pPr>
        <w:pStyle w:val="references"/>
        <w:ind w:left="354" w:hanging="354"/>
      </w:pPr>
      <w:r>
        <w:t>T. Chen and Z. Long, “Predicting Arthritis Risk with Machine Learning: Insights from the 2023 National Health Interview Survey Data,” PLOS ONE, vol. 20, no. 11, art. e0336018, Nov. 2025.</w:t>
      </w:r>
    </w:p>
    <w:p w14:paraId="326CA5FC" w14:textId="77777777" w:rsidR="00837F27" w:rsidRDefault="00000000">
      <w:pPr>
        <w:pStyle w:val="references"/>
        <w:ind w:left="354" w:hanging="354"/>
      </w:pPr>
      <w:r>
        <w:t>T. Liu, A. J. Krentz, L. Lu, and V. Curcin, “Machine Learning Based Prediction Models for Cardiovascular Disease Risk Using Electronic Health Records Data: Systematic Review and Meta-Analysis,” European Heart Journal—Digital Health, vol. 6, no. 1, pp. 7–22, Jan. 2025.</w:t>
      </w:r>
    </w:p>
    <w:p w14:paraId="0D287F7B" w14:textId="77777777" w:rsidR="00837F27" w:rsidRDefault="00000000">
      <w:pPr>
        <w:pStyle w:val="references"/>
        <w:ind w:left="354" w:hanging="354"/>
      </w:pPr>
      <w:r>
        <w:t>S. S. Dhanda et al., “Advancement in Public Health Through Machine Learning: A Narrative Review of Opportunities and Ethical Considerations,” Journal of Big Data, vol. 12, no. 1, art. 154, 2025.</w:t>
      </w:r>
    </w:p>
    <w:p w14:paraId="65AF375F" w14:textId="77777777" w:rsidR="00837F27" w:rsidRDefault="00000000">
      <w:pPr>
        <w:pStyle w:val="references"/>
        <w:ind w:left="354" w:hanging="354"/>
      </w:pPr>
      <w:r>
        <w:t>L. Breiman, “Random Forests,” Machine Learning, vol. 45, no. 1, pp. 5–32, 2001.</w:t>
      </w:r>
    </w:p>
    <w:p w14:paraId="0DEC1F5E" w14:textId="77777777" w:rsidR="00837F27" w:rsidRDefault="00000000">
      <w:pPr>
        <w:pStyle w:val="references"/>
        <w:ind w:left="354" w:hanging="354"/>
      </w:pPr>
      <w:r>
        <w:t>M. Zaharia et al., “Apache Spark: A Unified Engine for Big Data Processing,” Communications of the ACM, vol. 59, no. 11, pp. 56–65, 2016.</w:t>
      </w:r>
    </w:p>
    <w:p w14:paraId="4E92F817" w14:textId="28F61D46" w:rsidR="00837F27" w:rsidRDefault="00000000" w:rsidP="00EF10BC">
      <w:pPr>
        <w:pStyle w:val="references"/>
        <w:ind w:left="354" w:hanging="354"/>
        <w:sectPr w:rsidR="00837F27">
          <w:type w:val="continuous"/>
          <w:pgSz w:w="11906" w:h="16838"/>
          <w:pgMar w:top="540" w:right="893" w:bottom="1440" w:left="893" w:header="0" w:footer="720" w:gutter="0"/>
          <w:cols w:num="2" w:space="360"/>
          <w:formProt w:val="0"/>
          <w:titlePg/>
          <w:docGrid w:linePitch="360" w:charSpace="8192"/>
        </w:sectPr>
      </w:pPr>
      <w:r>
        <w:t>F. Pedregosa et al., “Scikit-learn: Machine Learning in Python,” Journal of Machine Learning Research, vol. 12, pp. 2825–2830, 2011.</w:t>
      </w:r>
    </w:p>
    <w:p w14:paraId="77447846" w14:textId="77777777" w:rsidR="00837F27" w:rsidRDefault="00837F27" w:rsidP="00EF10BC">
      <w:pPr>
        <w:jc w:val="both"/>
      </w:pPr>
    </w:p>
    <w:sectPr w:rsidR="00837F27">
      <w:type w:val="continuous"/>
      <w:pgSz w:w="11906" w:h="16838"/>
      <w:pgMar w:top="540" w:right="893" w:bottom="1440" w:left="893" w:header="0" w:footer="72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59F91" w14:textId="77777777" w:rsidR="00417F75" w:rsidRDefault="00417F75">
      <w:r>
        <w:separator/>
      </w:r>
    </w:p>
  </w:endnote>
  <w:endnote w:type="continuationSeparator" w:id="0">
    <w:p w14:paraId="139F04CF" w14:textId="77777777" w:rsidR="00417F75" w:rsidRDefault="00417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D53C" w14:textId="77777777" w:rsidR="00837F27" w:rsidRDefault="00837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F59CA" w14:textId="77777777" w:rsidR="00837F27" w:rsidRDefault="00837F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0C47" w14:textId="77777777" w:rsidR="00837F27"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B2A5" w14:textId="77777777" w:rsidR="00417F75" w:rsidRDefault="00417F75">
      <w:r>
        <w:separator/>
      </w:r>
    </w:p>
  </w:footnote>
  <w:footnote w:type="continuationSeparator" w:id="0">
    <w:p w14:paraId="7BFB9E90" w14:textId="77777777" w:rsidR="00417F75" w:rsidRDefault="00417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03"/>
    <w:multiLevelType w:val="multilevel"/>
    <w:tmpl w:val="FF4A5C9C"/>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1C232940"/>
    <w:multiLevelType w:val="multilevel"/>
    <w:tmpl w:val="476A12A6"/>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11067F0"/>
    <w:multiLevelType w:val="multilevel"/>
    <w:tmpl w:val="FD6266E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6112C86"/>
    <w:multiLevelType w:val="multilevel"/>
    <w:tmpl w:val="B7BA02B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5BB565FB"/>
    <w:multiLevelType w:val="multilevel"/>
    <w:tmpl w:val="338E2A9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111D42"/>
    <w:multiLevelType w:val="multilevel"/>
    <w:tmpl w:val="5E1A6DB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35863EE"/>
    <w:multiLevelType w:val="multilevel"/>
    <w:tmpl w:val="D8C6A45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237203755">
    <w:abstractNumId w:val="2"/>
  </w:num>
  <w:num w:numId="2" w16cid:durableId="1486387783">
    <w:abstractNumId w:val="6"/>
  </w:num>
  <w:num w:numId="3" w16cid:durableId="233778968">
    <w:abstractNumId w:val="3"/>
  </w:num>
  <w:num w:numId="4" w16cid:durableId="1839423801">
    <w:abstractNumId w:val="0"/>
  </w:num>
  <w:num w:numId="5" w16cid:durableId="1500121569">
    <w:abstractNumId w:val="4"/>
  </w:num>
  <w:num w:numId="6" w16cid:durableId="467209537">
    <w:abstractNumId w:val="5"/>
  </w:num>
  <w:num w:numId="7" w16cid:durableId="256719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F27"/>
    <w:rsid w:val="00125C75"/>
    <w:rsid w:val="00136DEE"/>
    <w:rsid w:val="00290C14"/>
    <w:rsid w:val="00417F75"/>
    <w:rsid w:val="00795DF5"/>
    <w:rsid w:val="00837F27"/>
    <w:rsid w:val="00C13E33"/>
    <w:rsid w:val="00EF10B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EE7E6"/>
  <w15:docId w15:val="{6DDDD353-8E69-485C-B766-72C89B6D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2622</Words>
  <Characters>14946</Characters>
  <Application>Microsoft Office Word</Application>
  <DocSecurity>0</DocSecurity>
  <Lines>124</Lines>
  <Paragraphs>35</Paragraphs>
  <ScaleCrop>false</ScaleCrop>
  <Company/>
  <LinksUpToDate>false</LinksUpToDate>
  <CharactersWithSpaces>17533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Dasari Dinesh Kumar</cp:lastModifiedBy>
  <cp:revision>5</cp:revision>
  <dcterms:created xsi:type="dcterms:W3CDTF">2024-07-16T13:42:00Z</dcterms:created>
  <dcterms:modified xsi:type="dcterms:W3CDTF">2026-09-25T20:39:00Z</dcterms:modified>
  <dc:language>en-US</dc:language>
</cp:coreProperties>
</file>