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RCM SLM — ZERO-COST</w:t>
        <w:br/>
        <w:t>MAXIMUM-ACCURACY BLUEPRINT</w:t>
      </w:r>
    </w:p>
    <w:p>
      <w:pPr>
        <w:jc w:val="center"/>
      </w:pPr>
      <w:r>
        <w:rPr>
          <w:sz w:val="24"/>
        </w:rPr>
        <w:t>A practical end-to-end plan for building, fine-tuning, evaluating, packaging and deploying an RCM-domain Small Language Model</w:t>
      </w:r>
    </w:p>
    <w:p>
      <w:pPr>
        <w:jc w:val="center"/>
      </w:pPr>
      <w:r>
        <w:rPr>
          <w:sz w:val="20"/>
        </w:rPr>
        <w:br/>
        <w:t>Target stack</w:t>
        <w:br/>
        <w:t>Google Colab • Hugging Face • PEFT/LoRA • FastAPI • Next.js • Neon PostgreSQL • Resend • Vercel • Render • GGUF</w:t>
      </w:r>
    </w:p>
    <w:p>
      <w:pPr>
        <w:pStyle w:val="Callout"/>
        <w:spacing w:before="100" w:after="100"/>
      </w:pPr>
      <w:r>
        <w:t>CORE PRINCIPLE: Do not try to make the model memorize every current payer rule. Fine-tune the model for RCM behavior and structured tasks; use RAG/tooling for changing policies, code references and live account data. This is the safest route to high practical accuracy.</w:t>
      </w:r>
    </w:p>
    <w:p>
      <w:pPr>
        <w:jc w:val="center"/>
      </w:pPr>
      <w:r>
        <w:rPr>
          <w:i/>
        </w:rPr>
        <w:br/>
        <w:t>Prepared from the supplied RCM fine-tuning source, expanded with implementation architecture and current free-tier constraints.</w:t>
      </w:r>
    </w:p>
    <w:p>
      <w:r>
        <w:br w:type="page"/>
      </w:r>
    </w:p>
    <w:p>
      <w:pPr>
        <w:pStyle w:val="Heading1"/>
      </w:pPr>
      <w:r>
        <w:t>1. Executive Decision: What You Should Build</w:t>
      </w:r>
    </w:p>
    <w:p>
      <w:r>
        <w:t>The project should not be treated as “fine-tune one model and put it behind an API.” For maximum practical RCM accuracy at zero monetary cost, build a layered RCM assistant: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implementation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Base SLM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Language and reasoning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 open-weight instruction model that fits free Colab resources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SFT / LoRA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Teach RCM terminology, task formats and response behavior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PEFT LoRA; QLoRA when running on a compatible GPU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Structured heads / rules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High-precision deterministic checks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Python validators + code lists + claim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Current payer policies, coding references, manuals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FAISS/local index or PostgreSQL + pgvector if available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Live/authoritative lookups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FastAPI tool endpoints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Safety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Prevent invalid codes, PHI leakage and unsafe autonomous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Validators + redaction + human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Inference orchestration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RCM workbench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Next.js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Users, cases, predictions, audit logs, feedback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Neon PostgreSQL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Alerts / appeal workflow / 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Resend only if needed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Public demo / application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Vercel + Render + Neon</w:t>
            </w:r>
          </w:p>
        </w:tc>
      </w:tr>
    </w:tbl>
    <w:p/>
    <w:p>
      <w:pPr>
        <w:pStyle w:val="Callout"/>
        <w:spacing w:before="100" w:after="100"/>
      </w:pPr>
      <w:r>
        <w:t>Accuracy target: optimize for task-specific correctness, not a single “LLM score.” Coding accuracy/F1, denial AUC/precision-recall, retrieval recall, exact structured output validity and human review agreement matter more than generic chatbot benchmarks.</w:t>
      </w:r>
    </w:p>
    <w:p>
      <w:pPr>
        <w:pStyle w:val="Heading1"/>
      </w:pPr>
      <w:r>
        <w:t>2. What “0 Cost” Actually Means</w:t>
      </w:r>
    </w:p>
    <w:p>
      <w:r>
        <w:t>A zero-dollar student/project deployment is feasible if you stay inside free quotas. It is not equivalent to unlimited production infrastructure. Free Render services have resource and idle limitations; Resend currently has a free transactional tier; and free database/deployment quotas can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Zero-cost role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Hard reality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Google Colab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Training /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Free compute is quota-based and not guaranteed. Sessions can end.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TPU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Potential acceleration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The training framework must support TPU/XLA; bitsandbytes QLoRA is primarily a CUDA/GPU workflow.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Hugging 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Models, datasets, adapter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licenses that permit your intended use.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only within the current free allowance.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FastAPI hosting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Free web services spin down after inactivity and have resource limits.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Vercel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Next.js 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the free/Hobby limits for a personal/demo project.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Transactional 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Free tier is quota-limited; optional for the first version.</w:t>
            </w:r>
          </w:p>
        </w:tc>
      </w:tr>
    </w:tbl>
    <w:p/>
    <w:p>
      <w:pPr>
        <w:pStyle w:val="Small"/>
      </w:pPr>
      <w:r>
        <w:t>Current checked limits for the services are documented in the official references listed in the final section. Render explicitly describes its Free instances as suitable for testing/hobby projects and notes that free web services spin down after 15 minutes of inactivity.</w:t>
      </w:r>
    </w:p>
    <w:p>
      <w:pPr>
        <w:pStyle w:val="Heading1"/>
      </w:pPr>
      <w:r>
        <w:t>3. What the Supplied RCM Source Establishes</w:t>
      </w:r>
    </w:p>
    <w:p>
      <w:r>
        <w:t>The supplied source defines RCM as an end-to-end revenue process from patient intake through reimbursement and identifies coding, claims scrubbing, denial prediction/management, patient communication, prior authorization assistance and revenue forecasting as LLM-suitable tasks.</w:t>
      </w:r>
    </w:p>
    <w:p>
      <w:r>
        <w:t>It also emphasizes de-identification, task-specific labels, synthetic data, QLoRA/PEFT, evaluation, RAG, tool use, audit logs, continual learning and human oversight.</w:t>
      </w:r>
    </w:p>
    <w:p>
      <w:pPr>
        <w:pStyle w:val="ListBullet"/>
        <w:spacing w:after="40"/>
      </w:pPr>
      <w:r>
        <w:t>RCM process: preregistration/verification → charge capture → coding → claim submission/scrubbing → remittance → patient collections → process review.</w:t>
      </w:r>
    </w:p>
    <w:p>
      <w:pPr>
        <w:pStyle w:val="ListBullet"/>
        <w:spacing w:after="40"/>
      </w:pPr>
      <w:r>
        <w:t>Candidate training labels: diagnosis/procedure codes, paid/denied outcomes, denial reasons and patient inquiry categories.</w:t>
      </w:r>
    </w:p>
    <w:p>
      <w:pPr>
        <w:pStyle w:val="ListBullet"/>
        <w:spacing w:after="40"/>
      </w:pPr>
      <w:r>
        <w:t>Suggested open data families: MIMIC, eICU, CMS public-use files and Synthea.</w:t>
      </w:r>
    </w:p>
    <w:p>
      <w:pPr>
        <w:pStyle w:val="ListBullet"/>
        <w:spacing w:after="40"/>
      </w:pPr>
      <w:r>
        <w:t>Source fine-tuning recipe: quantized model + LoRA adapters + supervised instruction data + held-out evaluation.</w:t>
      </w:r>
    </w:p>
    <w:p>
      <w:pPr>
        <w:pStyle w:val="ListBullet"/>
        <w:spacing w:after="40"/>
      </w:pPr>
      <w:r>
        <w:t>Source advanced features: RAG, code lookup tools, billing-system APIs, explainability/audit logs, differential privacy, continual learning and agent workflows.</w:t>
      </w:r>
    </w:p>
    <w:p>
      <w:pPr>
        <w:pStyle w:val="Callout"/>
        <w:spacing w:before="100" w:after="100"/>
      </w:pPr>
      <w:r>
        <w:t>The source itself says the fine-tuned model should be an assistant rather than an autonomous authority, with human review for critical outputs.</w:t>
      </w:r>
    </w:p>
    <w:p>
      <w:pPr>
        <w:pStyle w:val="Heading1"/>
      </w:pPr>
      <w:r>
        <w:t>4. Define the RCM Product Before Training</w:t>
      </w:r>
    </w:p>
    <w:p>
      <w:r>
        <w:t>Do not start by downloading a model. First define the exact tasks the model must solve.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Metric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RCM Q&amp;A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Question + retrieved context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Grounded answer + citations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Expert correctness / groundedness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Coding assistance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Clinical/encounter 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ICD/CPT/HCPCS candidates + evidence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Exact match / F1 / validity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Denial analysis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Claim + denial code/reason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Reason + corrective action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Accuracy / F1 / expert agreement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Claim scrubbing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Structured claim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Errors/warnings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Precision / recall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Appeal draft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Denial + supporting facts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Appeal draft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Human acceptance/edit rate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Prior authorization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Clinical facts + payer requirement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Missing information + draft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Field extraction accuracy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Patient billing explanation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Billing event + allowed context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Plain-language explanation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Human rating / safety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Revenue forecasting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Historical aggregates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Forecast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MAE/MAPE</w:t>
            </w:r>
          </w:p>
        </w:tc>
      </w:tr>
    </w:tbl>
    <w:p/>
    <w:p>
      <w:r>
        <w:t>Do not force every task into one generative objective. Classification/forecasting can be handled by specialized models or deterministic/statistical components while the SLM handles language-heavy tasks.</w:t>
      </w:r>
    </w:p>
    <w:p>
      <w:pPr>
        <w:pStyle w:val="Heading1"/>
      </w:pPr>
      <w:r>
        <w:t>5. Data Strategy: The Biggest Accuracy Lever</w:t>
      </w:r>
    </w:p>
    <w:p>
      <w:r>
        <w:t>The source emphasizes that fine-tuning requires task-specific data and that synthetic data can augment scarce or PHI-sensitive data.</w:t>
      </w:r>
    </w:p>
    <w:p>
      <w:pPr>
        <w:pStyle w:val="Heading2"/>
      </w:pPr>
      <w:r>
        <w:t>5.1 Recommended dataset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source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Role in training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MIMIC-IV / related clinical datasets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Clinical language + diagnosis/procedure context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Coding-oriented examples and terminology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eICU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Multicenter ICU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Additional clinical variation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CMS public-use claims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Claims/payment patterns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Structured claims/denial-style tasks where fields permit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Synthea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Synthetic EHR/insurance/billing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Large-scale synthetic instruction generation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Synthetic RCM scenarios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Controlled edge cases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Rare denial, authorization, claim-scrubbing and safety cases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Expert-authored examples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Gold-standard behavior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Highest-value validation and instruction examples</w:t>
            </w:r>
          </w:p>
        </w:tc>
      </w:tr>
    </w:tbl>
    <w:p/>
    <w:p>
      <w:pPr>
        <w:pStyle w:val="Heading2"/>
      </w:pPr>
      <w:r>
        <w:t>5.2 Build a unified schema</w:t>
      </w:r>
    </w:p>
    <w:p>
      <w:pPr>
        <w:pStyle w:val="Code"/>
        <w:spacing w:after="80"/>
        <w:ind w:left="360"/>
      </w:pPr>
      <w:r>
        <w:t>{</w:t>
        <w:br/>
        <w:t xml:space="preserve">  "id": "case_000001",</w:t>
        <w:br/>
        <w:t xml:space="preserve">  "task": "denial_analysis",</w:t>
        <w:br/>
        <w:t xml:space="preserve">  "instruction": "Analyze the claim denial and identify corrective action.",</w:t>
        <w:br/>
        <w:t xml:space="preserve">  "context": {</w:t>
        <w:br/>
        <w:t xml:space="preserve">    "payer": "...",</w:t>
        <w:br/>
        <w:t xml:space="preserve">    "claim_type": "...",</w:t>
        <w:br/>
        <w:t xml:space="preserve">    "codes": ["..."],</w:t>
        <w:br/>
        <w:t xml:space="preserve">    "denial_reason": "...",</w:t>
        <w:br/>
        <w:t xml:space="preserve">    "documentation": "..."</w:t>
        <w:br/>
        <w:t xml:space="preserve">  },</w:t>
        <w:br/>
        <w:t xml:space="preserve">  "response": {</w:t>
        <w:br/>
        <w:t xml:space="preserve">    "classification": "...",</w:t>
        <w:br/>
        <w:t xml:space="preserve">    "reason": "...",</w:t>
        <w:br/>
        <w:t xml:space="preserve">    "recommended_action": "...",</w:t>
        <w:br/>
        <w:t xml:space="preserve">    "evidence": ["..."],</w:t>
        <w:br/>
        <w:t xml:space="preserve">    "confidence": 0.0</w:t>
        <w:br/>
        <w:t xml:space="preserve">  },</w:t>
        <w:br/>
        <w:t xml:space="preserve">  "source": "synthetic|public|expert",</w:t>
        <w:br/>
        <w:t xml:space="preserve">  "split": "train|validation|test"</w:t>
        <w:br/>
        <w:t>}</w:t>
      </w:r>
    </w:p>
    <w:p>
      <w:pPr>
        <w:pStyle w:val="Heading2"/>
      </w:pPr>
      <w:r>
        <w:t>5.3 Prevent data leakage</w:t>
      </w:r>
    </w:p>
    <w:p>
      <w:pPr>
        <w:pStyle w:val="ListBullet"/>
        <w:spacing w:after="40"/>
      </w:pPr>
      <w:r>
        <w:t>Split by patient/encounter/claim family where applicable, not random rows alone.</w:t>
      </w:r>
    </w:p>
    <w:p>
      <w:pPr>
        <w:pStyle w:val="ListBullet"/>
        <w:spacing w:after="40"/>
      </w:pPr>
      <w:r>
        <w:t>Keep validation and test cases completely unseen during synthetic generation templates.</w:t>
      </w:r>
    </w:p>
    <w:p>
      <w:pPr>
        <w:pStyle w:val="ListBullet"/>
        <w:spacing w:after="40"/>
      </w:pPr>
      <w:r>
        <w:t>Never let near-duplicate claim narratives appear in both train and test.</w:t>
      </w:r>
    </w:p>
    <w:p>
      <w:pPr>
        <w:pStyle w:val="ListBullet"/>
        <w:spacing w:after="40"/>
      </w:pPr>
      <w:r>
        <w:t>Maintain a locked benchmark set that nobody uses during iterative training.</w:t>
      </w:r>
    </w:p>
    <w:p>
      <w:pPr>
        <w:pStyle w:val="ListBullet"/>
        <w:spacing w:after="40"/>
      </w:pPr>
      <w:r>
        <w:t>Track provenance for every example.</w:t>
      </w:r>
    </w:p>
    <w:p>
      <w:pPr>
        <w:pStyle w:val="ListBullet"/>
        <w:spacing w:after="40"/>
      </w:pPr>
      <w:r>
        <w:t>Use de-identified or synthetic data only. The supplied source stresses removal of all 18 HIPAA Safe Harbor identifiers for applicable real data.</w:t>
      </w:r>
    </w:p>
    <w:p>
      <w:pPr>
        <w:pStyle w:val="Heading1"/>
      </w:pPr>
      <w:r>
        <w:t>6. Create a High-Quality Instruction Dataset</w:t>
      </w:r>
    </w:p>
    <w:p>
      <w:r>
        <w:t>A smaller, cleaner, diverse dataset can outperform a large noisy dataset. Build examples around failure modes rather than merely increasing row count.</w:t>
      </w:r>
    </w:p>
    <w:p>
      <w:pPr>
        <w:pStyle w:val="Heading2"/>
      </w:pPr>
      <w:r>
        <w:t>6.1 Seven training buckets</w:t>
      </w:r>
    </w:p>
    <w:p>
      <w:pPr>
        <w:pStyle w:val="ListBullet"/>
        <w:spacing w:after="40"/>
      </w:pPr>
      <w:r>
        <w:t>RCM terminology and process understanding</w:t>
      </w:r>
    </w:p>
    <w:p>
      <w:pPr>
        <w:pStyle w:val="ListBullet"/>
        <w:spacing w:after="40"/>
      </w:pPr>
      <w:r>
        <w:t>Clinical text → coding candidate generation</w:t>
      </w:r>
    </w:p>
    <w:p>
      <w:pPr>
        <w:pStyle w:val="ListBullet"/>
        <w:spacing w:after="40"/>
      </w:pPr>
      <w:r>
        <w:t>Claim scrubbing and error identification</w:t>
      </w:r>
    </w:p>
    <w:p>
      <w:pPr>
        <w:pStyle w:val="ListBullet"/>
        <w:spacing w:after="40"/>
      </w:pPr>
      <w:r>
        <w:t>Denial reason → explanation → corrective action</w:t>
      </w:r>
    </w:p>
    <w:p>
      <w:pPr>
        <w:pStyle w:val="ListBullet"/>
        <w:spacing w:after="40"/>
      </w:pPr>
      <w:r>
        <w:t>Prior authorization extraction and missing-field detection</w:t>
      </w:r>
    </w:p>
    <w:p>
      <w:pPr>
        <w:pStyle w:val="ListBullet"/>
        <w:spacing w:after="40"/>
      </w:pPr>
      <w:r>
        <w:t>Patient-friendly billing/insurance explanations</w:t>
      </w:r>
    </w:p>
    <w:p>
      <w:pPr>
        <w:pStyle w:val="ListBullet"/>
        <w:spacing w:after="40"/>
      </w:pPr>
      <w:r>
        <w:t>Safety: refusal, uncertainty, PHI redaction and escalation to human reviewer</w:t>
      </w:r>
    </w:p>
    <w:p>
      <w:pPr>
        <w:pStyle w:val="Heading2"/>
      </w:pPr>
      <w:r>
        <w:t>6.2 Synthetic-data generation pipeline</w:t>
      </w:r>
    </w:p>
    <w:p>
      <w:pPr>
        <w:pStyle w:val="ListNumber"/>
        <w:spacing w:after="40"/>
      </w:pPr>
      <w:r>
        <w:t>Start from structured templates: payer, claim type, code family, authorization status, documentation state and denial reason.</w:t>
      </w:r>
    </w:p>
    <w:p>
      <w:pPr>
        <w:pStyle w:val="ListNumber"/>
        <w:spacing w:after="40"/>
      </w:pPr>
      <w:r>
        <w:t>Generate multiple phrasings for the same underlying case.</w:t>
      </w:r>
    </w:p>
    <w:p>
      <w:pPr>
        <w:pStyle w:val="ListNumber"/>
        <w:spacing w:after="40"/>
      </w:pPr>
      <w:r>
        <w:t>Generate hard negatives: plausible but invalid code combinations, missing modifiers, conflicting documentation and incorrect authorization.</w:t>
      </w:r>
    </w:p>
    <w:p>
      <w:pPr>
        <w:pStyle w:val="ListNumber"/>
        <w:spacing w:after="40"/>
      </w:pPr>
      <w:r>
        <w:t>Run deterministic validators over generated examples.</w:t>
      </w:r>
    </w:p>
    <w:p>
      <w:pPr>
        <w:pStyle w:val="ListNumber"/>
        <w:spacing w:after="40"/>
      </w:pPr>
      <w:r>
        <w:t>Deduplicate using normalized text and embeddings.</w:t>
      </w:r>
    </w:p>
    <w:p>
      <w:pPr>
        <w:pStyle w:val="ListNumber"/>
        <w:spacing w:after="40"/>
      </w:pPr>
      <w:r>
        <w:t>Keep only examples that pass schema validation.</w:t>
      </w:r>
    </w:p>
    <w:p>
      <w:pPr>
        <w:pStyle w:val="ListNumber"/>
        <w:spacing w:after="40"/>
      </w:pPr>
      <w:r>
        <w:t>Reserve expert-written examples for validation and high-value fine-tuning.</w:t>
      </w:r>
    </w:p>
    <w:p>
      <w:pPr>
        <w:pStyle w:val="Callout"/>
        <w:spacing w:before="100" w:after="100"/>
      </w:pPr>
      <w:r>
        <w:t>Do not train on model-generated answers blindly. Synthetic data can amplify errors. Every synthetic sample should pass a rule-based or reference-based validation step before entering the training set.</w:t>
      </w:r>
    </w:p>
    <w:p>
      <w:pPr>
        <w:pStyle w:val="Heading1"/>
      </w:pPr>
      <w:r>
        <w:t>7. Base Model Selection</w:t>
      </w:r>
    </w:p>
    <w:p>
      <w:r>
        <w:t>The supplied source lists older open models such as LLaMA-2, Mistral-7B, Gemma-7B, Falcon-7B and GPT-J-6B. For the actual 2026 implementation, select an actively supported small instruction model with a permissive license and good Hugging Face/Transformers compatibility.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Decision 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 weights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Required for local inference and GGUF packaging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Reject closed/API-only models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Permissive license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Important for deployment/use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Verify the exact model license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Instruction tuned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Reduces training burden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Prefer instruct/chat checkpoint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Small enough for free inference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Render has limited CPU/RAM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Prefer a quantized small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Transformers + PEFT compatibility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Training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Must load cleanly in Colab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GGUF/llama.cpp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 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Prefer architectures with mature conversion support</w:t>
            </w:r>
          </w:p>
        </w:tc>
      </w:tr>
    </w:tbl>
    <w:p/>
    <w:p>
      <w:pPr>
        <w:pStyle w:val="Callout"/>
        <w:spacing w:before="100" w:after="100"/>
      </w:pPr>
      <w:r>
        <w:t>Do not choose a model solely because it has the largest parameter count. A smaller model with high-quality RCM data + RAG + validators can be much more useful than a larger model with noisy fine-tuning.</w:t>
      </w:r>
    </w:p>
    <w:p>
      <w:pPr>
        <w:pStyle w:val="Heading1"/>
      </w:pPr>
      <w:r>
        <w:t>8. Google Colab TPU: How to Use It Without Getting Trapped</w:t>
      </w:r>
    </w:p>
    <w:p>
      <w:r>
        <w:t>Your requested stack says Google Colab (TPU). The source’s QLoRA example, however, uses bitsandbytes 4-bit quantization and Hugging Face PEFT. That workflow is naturally GPU/CUDA-oriented. TPU execution requires a TPU-compatible training path such as PyTorch/XLA or JAX/Flax, and not every PEFT/quantization combination behaves the same 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TPU + PyTorch/XLA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Full/adapter training when model/framework supports 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if the selected model and training stack are verified first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TPU + JAX/Flax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Alternative TPU-native training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 option; more engineering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Free Colab GPU + QLoRA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4-bit + LoRA with bitsandbytes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Best practical fallback for the source’s exact recipe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 preparation/evaluation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for preprocessing, not serious SLM fine-tuning</w:t>
            </w:r>
          </w:p>
        </w:tc>
      </w:tr>
    </w:tbl>
    <w:p/>
    <w:p>
      <w:pPr>
        <w:pStyle w:val="Callout"/>
        <w:spacing w:before="100" w:after="100"/>
      </w:pPr>
      <w:r>
        <w:t>Best zero-cost rule: keep your notebook portable. Build data preparation, evaluation and packaging independent of the accelerator. Then select TPU when the model supports it; otherwise use a free Colab GPU when available. Do not redesign the entire project around one accelerator.</w:t>
      </w:r>
    </w:p>
    <w:p>
      <w:pPr>
        <w:pStyle w:val="Heading1"/>
      </w:pPr>
      <w:r>
        <w:t>9. Fine-Tuning Recipe</w:t>
      </w:r>
    </w:p>
    <w:p>
      <w:pPr>
        <w:pStyle w:val="Heading2"/>
      </w:pPr>
      <w:r>
        <w:t>9.1 Recommended adapter configuration</w:t>
      </w:r>
    </w:p>
    <w:p>
      <w:pPr>
        <w:pStyle w:val="Code"/>
        <w:spacing w:after="80"/>
        <w:ind w:left="360"/>
      </w:pPr>
      <w:r>
        <w:t>LoRA starting point:</w:t>
        <w:br/>
        <w:t>r = 16</w:t>
        <w:br/>
        <w:t>alpha = 32</w:t>
        <w:br/>
        <w:t>dropout = 0.05</w:t>
        <w:br/>
        <w:t>target_modules = attention projections + relevant MLP projections supported by model</w:t>
        <w:br/>
        <w:t>epochs = 2–5</w:t>
        <w:br/>
        <w:t>learning_rate = tune around 5e-5 to 2e-4</w:t>
        <w:br/>
        <w:t>gradient_accumulation = increase until effective batch is stable</w:t>
        <w:br/>
        <w:t>sequence_length = choose from actual RCM examples; avoid padding everything to max</w:t>
        <w:br/>
        <w:t>early_stopping = yes</w:t>
        <w:br/>
        <w:t>best_checkpoint = validation metric, not training loss</w:t>
      </w:r>
    </w:p>
    <w:p>
      <w:r>
        <w:t>The supplied source gives r=4–16 as a typical range, alpha often around 2×r, dropout around 0.05, a few epochs, gradient accumulation and mixed precision. Use these as starting points, then tune empirically.</w:t>
      </w:r>
    </w:p>
    <w:p>
      <w:pPr>
        <w:pStyle w:val="Heading2"/>
      </w:pPr>
      <w:r>
        <w:t>9.2 Do not overtrain</w:t>
      </w:r>
    </w:p>
    <w:p>
      <w:pPr>
        <w:pStyle w:val="ListBullet"/>
        <w:spacing w:after="40"/>
      </w:pPr>
      <w:r>
        <w:t>Track validation loss and task metrics every epoch.</w:t>
      </w:r>
    </w:p>
    <w:p>
      <w:pPr>
        <w:pStyle w:val="ListBullet"/>
        <w:spacing w:after="40"/>
      </w:pPr>
      <w:r>
        <w:t>Stop when domain performance stops improving.</w:t>
      </w:r>
    </w:p>
    <w:p>
      <w:pPr>
        <w:pStyle w:val="ListBullet"/>
        <w:spacing w:after="40"/>
      </w:pPr>
      <w:r>
        <w:t>Check general language behavior after fine-tuning.</w:t>
      </w:r>
    </w:p>
    <w:p>
      <w:pPr>
        <w:pStyle w:val="ListBullet"/>
        <w:spacing w:after="40"/>
      </w:pPr>
      <w:r>
        <w:t>Test for memorization and PHI regeneration.</w:t>
      </w:r>
    </w:p>
    <w:p>
      <w:pPr>
        <w:pStyle w:val="ListBullet"/>
        <w:spacing w:after="40"/>
      </w:pPr>
      <w:r>
        <w:t>Compare base model vs fine-tuned model on the same locked benchmark.</w:t>
      </w:r>
    </w:p>
    <w:p>
      <w:pPr>
        <w:pStyle w:val="Heading1"/>
      </w:pPr>
      <w:r>
        <w:t>10. Maximum-Accuracy Strategy: Multi-Stage Training</w:t>
      </w:r>
    </w:p>
    <w:p>
      <w:r>
        <w:t>Instead of one giant SFT run, use controlled stages.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Training objective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benefit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Stage 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RCM terminology/process + high-quality examples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Domain vocabulary and workflow understanding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Stage 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Task-specific structured examples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Coding/denial/claim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Stage 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Hard negatives + edge cases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Robustness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Stage 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Safety + uncertainty + escalation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Lower hallucination and unsafe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Stage 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Small expert-quality instruction 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Behavior polish</w:t>
            </w:r>
          </w:p>
        </w:tc>
      </w:tr>
    </w:tbl>
    <w:p/>
    <w:p>
      <w:r>
        <w:t>If compute is tight, combine A–D into one balanced dataset rather than repeatedly restarting training. Keep Stage E small and high-quality.</w:t>
      </w:r>
    </w:p>
    <w:p>
      <w:pPr>
        <w:pStyle w:val="Heading1"/>
      </w:pPr>
      <w:r>
        <w:t>11. Evaluation: Prove That the Model Actually Improved</w:t>
      </w:r>
    </w:p>
    <w:p>
      <w:r>
        <w:t>Never report only training loss. Build a benchmark with separate slices.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Benchmark slice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metric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Diagnosis/procedure mapping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Exact match, micro/macro F1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Denial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Paid/denied or denial reason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Accuracy, precision, recall, F1, AUC where applicable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Claim scrubbing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Missing/mismatched fields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Precision/recall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Policy/manual 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Retrieval recall@k + grounded answer correctness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Patient 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Billing explanations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Human correctness + safety rating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Robustness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Ambiguous/incomplete claims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Correct escalation/uncertainty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PHI/prompt-injection tests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Leakage rate / attack success rate</w:t>
            </w:r>
          </w:p>
        </w:tc>
      </w:tr>
    </w:tbl>
    <w:p/>
    <w:p>
      <w:pPr>
        <w:pStyle w:val="Heading2"/>
      </w:pPr>
      <w:r>
        <w:t>11.1 Baselines you must record</w:t>
      </w:r>
    </w:p>
    <w:p>
      <w:pPr>
        <w:pStyle w:val="ListBullet"/>
        <w:spacing w:after="40"/>
      </w:pPr>
      <w:r>
        <w:t>Base model without fine-tuning.</w:t>
      </w:r>
    </w:p>
    <w:p>
      <w:pPr>
        <w:pStyle w:val="ListBullet"/>
        <w:spacing w:after="40"/>
      </w:pPr>
      <w:r>
        <w:t>Fine-tuned model without RAG.</w:t>
      </w:r>
    </w:p>
    <w:p>
      <w:pPr>
        <w:pStyle w:val="ListBullet"/>
        <w:spacing w:after="40"/>
      </w:pPr>
      <w:r>
        <w:t>Fine-tuned model + RAG.</w:t>
      </w:r>
    </w:p>
    <w:p>
      <w:pPr>
        <w:pStyle w:val="ListBullet"/>
        <w:spacing w:after="40"/>
      </w:pPr>
      <w:r>
        <w:t>Fine-tuned model + RAG + validators.</w:t>
      </w:r>
    </w:p>
    <w:p>
      <w:pPr>
        <w:pStyle w:val="ListBullet"/>
        <w:spacing w:after="40"/>
      </w:pPr>
      <w:r>
        <w:t>If possible, compare against a simple non-LLM classifier for denial prediction.</w:t>
      </w:r>
    </w:p>
    <w:p>
      <w:pPr>
        <w:pStyle w:val="Callout"/>
        <w:spacing w:before="100" w:after="100"/>
      </w:pPr>
      <w:r>
        <w:t>The goal is not to prove that the SLM is always better. The goal is to identify where each component is strongest and build the final system around measured performance.</w:t>
      </w:r>
    </w:p>
    <w:p>
      <w:pPr>
        <w:pStyle w:val="Heading1"/>
      </w:pPr>
      <w:r>
        <w:t>12. RAG: The Most Important Complement to Fine-Tuning</w:t>
      </w:r>
    </w:p>
    <w:p>
      <w:r>
        <w:t>The source recommends RAG for current payer policies, insurance manuals and coding references because these change more frequently than model weights.</w:t>
      </w:r>
    </w:p>
    <w:p>
      <w:pPr>
        <w:pStyle w:val="Code"/>
        <w:spacing w:after="80"/>
        <w:ind w:left="360"/>
      </w:pPr>
      <w:r>
        <w:t>User</w:t>
        <w:br/>
        <w:t xml:space="preserve">  ↓</w:t>
        <w:br/>
        <w:t>Next.js UI</w:t>
        <w:br/>
        <w:t xml:space="preserve">  ↓</w:t>
        <w:br/>
        <w:t>FastAPI /chat</w:t>
        <w:br/>
        <w:t xml:space="preserve">  ↓</w:t>
        <w:br/>
        <w:t>Query classifier</w:t>
        <w:br/>
        <w:t xml:space="preserve">  ├── simple RCM Q&amp;A</w:t>
        <w:br/>
        <w:t xml:space="preserve">  ├── coding</w:t>
        <w:br/>
        <w:t xml:space="preserve">  ├── denial analysis</w:t>
        <w:br/>
        <w:t xml:space="preserve">  └── policy lookup</w:t>
        <w:br/>
        <w:t xml:space="preserve">       ↓</w:t>
        <w:br/>
        <w:t>Retriever</w:t>
        <w:br/>
        <w:t xml:space="preserve">  ↓</w:t>
        <w:br/>
        <w:t>Top-k policy/code documents</w:t>
        <w:br/>
        <w:t xml:space="preserve">  ↓</w:t>
        <w:br/>
        <w:t>SLM</w:t>
        <w:br/>
        <w:t xml:space="preserve">  ↓</w:t>
        <w:br/>
        <w:t>Output validator</w:t>
        <w:br/>
        <w:t xml:space="preserve">  ↓</w:t>
        <w:br/>
        <w:t>Citation + confidence + human-review flag</w:t>
        <w:br/>
        <w:t xml:space="preserve">  ↓</w:t>
        <w:br/>
        <w:t>Next.js</w:t>
      </w:r>
    </w:p>
    <w:p>
      <w:pPr>
        <w:pStyle w:val="Heading2"/>
      </w:pPr>
      <w:r>
        <w:t>12.1 Zero-cost RAG options</w:t>
      </w:r>
    </w:p>
    <w:p>
      <w:pPr>
        <w:pStyle w:val="ListBullet"/>
        <w:spacing w:after="40"/>
      </w:pPr>
      <w:r>
        <w:t>FAISS: simplest local vector index; package it with the backend if the index is small.</w:t>
      </w:r>
    </w:p>
    <w:p>
      <w:pPr>
        <w:pStyle w:val="ListBullet"/>
        <w:spacing w:after="40"/>
      </w:pPr>
      <w:r>
        <w:t>PostgreSQL + pgvector: attractive if you want document metadata, users and vectors in Neon in one system, subject to the current plan/features.</w:t>
      </w:r>
    </w:p>
    <w:p>
      <w:pPr>
        <w:pStyle w:val="ListBullet"/>
        <w:spacing w:after="40"/>
      </w:pPr>
      <w:r>
        <w:t>Hybrid retrieval: lexical/BM25 + embeddings for code names, denial codes and exact policy phrases.</w:t>
      </w:r>
    </w:p>
    <w:p>
      <w:pPr>
        <w:pStyle w:val="ListBullet"/>
        <w:spacing w:after="40"/>
      </w:pPr>
      <w:r>
        <w:t>Store source document ID, section, version and effective date with every chunk.</w:t>
      </w:r>
    </w:p>
    <w:p>
      <w:pPr>
        <w:pStyle w:val="ListBullet"/>
        <w:spacing w:after="40"/>
      </w:pPr>
      <w:r>
        <w:t>Never let retrieval silently use stale payer policy; display document/version metadata.</w:t>
      </w:r>
    </w:p>
    <w:p>
      <w:pPr>
        <w:pStyle w:val="Heading1"/>
      </w:pPr>
      <w:r>
        <w:t>13. Tool-Calling and Deterministic Validators</w:t>
      </w:r>
    </w:p>
    <w:p>
      <w:r>
        <w:t>The model should not be responsible for arithmetic, exact database lookup or validating whether a generated code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Code lookup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ICD/CPT/HCPCS description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Prevents invented codes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Policy lookup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Payer rule by effective 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Keeps rules current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Claim validator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Required fields/modifiers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Deterministic accuracy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Patient account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Outstanding balance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Never hallucinate live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Audit logger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Input/output/model 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Traceability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PHI detector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Identifier pattern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Leakage prevention</w:t>
            </w:r>
          </w:p>
        </w:tc>
      </w:tr>
    </w:tbl>
    <w:p/>
    <w:p>
      <w:pPr>
        <w:pStyle w:val="Heading1"/>
      </w:pPr>
      <w:r>
        <w:t>14. Final Application Architecture</w:t>
      </w:r>
    </w:p>
    <w:p>
      <w:pPr>
        <w:pStyle w:val="Code"/>
        <w:spacing w:after="80"/>
        <w:ind w:left="360"/>
      </w:pPr>
      <w:r>
        <w:t xml:space="preserve">                        ┌─────────────────────┐</w:t>
        <w:br/>
        <w:t xml:space="preserve">                        │      Next.js UI      │</w:t>
        <w:br/>
        <w:t xml:space="preserve">                        │ RCM Workbench        │</w:t>
        <w:br/>
        <w:t xml:space="preserve">                        └──────────┬──────────┘</w:t>
        <w:br/>
        <w:t xml:space="preserve">                                   │ HTTPS</w:t>
        <w:br/>
        <w:t xml:space="preserve">                                   ▼</w:t>
        <w:br/>
        <w:t xml:space="preserve">                        ┌─────────────────────┐</w:t>
        <w:br/>
        <w:t xml:space="preserve">                        │      FastAPI        │</w:t>
        <w:br/>
        <w:t xml:space="preserve">                        │ Auth / Orchestration│</w:t>
        <w:br/>
        <w:t xml:space="preserve">                        └──────┬───────┬──────┘</w:t>
        <w:br/>
        <w:t xml:space="preserve">                               │       │</w:t>
        <w:br/>
        <w:t xml:space="preserve">                ┌──────────────┘       └────────────────┐</w:t>
        <w:br/>
        <w:t xml:space="preserve">                ▼                                        ▼</w:t>
        <w:br/>
        <w:t xml:space="preserve">       ┌────────────────┐                      ┌─────────────────┐</w:t>
        <w:br/>
        <w:t xml:space="preserve">       │ RCM SLM/GGUF   │                      │ Neon PostgreSQL │</w:t>
        <w:br/>
        <w:t xml:space="preserve">       │ local inference│                      │ users/cases/logs│</w:t>
        <w:br/>
        <w:t xml:space="preserve">       └───────┬────────┘                      └─────────────────┘</w:t>
        <w:br/>
        <w:t xml:space="preserve">               │</w:t>
        <w:br/>
        <w:t xml:space="preserve">        ┌──────┴──────────┐</w:t>
        <w:br/>
        <w:t xml:space="preserve">        ▼                 ▼</w:t>
        <w:br/>
        <w:t xml:space="preserve">  ┌────────────┐    ┌───────────────┐</w:t>
        <w:br/>
        <w:t xml:space="preserve">  │ RAG index  │    │ Tool/Validator│</w:t>
        <w:br/>
        <w:t xml:space="preserve">  │ FAISS/pgvec│    │ code/policy   │</w:t>
        <w:br/>
        <w:t xml:space="preserve">  └────────────┘    └───────────────┘</w:t>
        <w:br/>
        <w:t xml:space="preserve">               │</w:t>
        <w:br/>
        <w:t xml:space="preserve">               ▼</w:t>
        <w:br/>
        <w:t xml:space="preserve">        ┌─────────────────┐</w:t>
        <w:br/>
        <w:t xml:space="preserve">        │ Safety + Output │</w:t>
        <w:br/>
        <w:t xml:space="preserve">        │ validation      │</w:t>
        <w:br/>
        <w:t xml:space="preserve">        └─────────────────┘</w:t>
        <w:br/>
        <w:t xml:space="preserve">               │</w:t>
        <w:br/>
        <w:t xml:space="preserve">               ▼</w:t>
        <w:br/>
        <w:t xml:space="preserve">        Response + sources</w:t>
        <w:br/>
      </w:r>
    </w:p>
    <w:p>
      <w:pPr>
        <w:pStyle w:val="Heading1"/>
      </w:pPr>
      <w:r>
        <w:t>15. Artifact/File Strategy: .pkl + GGUF</w:t>
      </w:r>
    </w:p>
    <w:p>
      <w:r>
        <w:t>You specifically want the .pkl and GGUF artifacts kept in a folder for the AntiGravity IDE backend/frontend build. Use a disciplined structure.</w:t>
      </w:r>
    </w:p>
    <w:p>
      <w:pPr>
        <w:pStyle w:val="Code"/>
        <w:spacing w:after="80"/>
        <w:ind w:left="360"/>
      </w:pPr>
      <w:r>
        <w:t>rcm-slm/</w:t>
        <w:br/>
        <w:t>├── model/</w:t>
        <w:br/>
        <w:t>│   ├── adapters/</w:t>
        <w:br/>
        <w:t>│   │   ├── adapter_config.json</w:t>
        <w:br/>
        <w:t>│   │   └── adapter_model.safetensors</w:t>
        <w:br/>
        <w:t>│   ├── merged/                 # optional</w:t>
        <w:br/>
        <w:t>│   ├── gguf/</w:t>
        <w:br/>
        <w:t>│   │   └── rcm-slm-q4.gguf</w:t>
        <w:br/>
        <w:t>│   └── tokenizer/</w:t>
        <w:br/>
        <w:t>├── artifacts/</w:t>
        <w:br/>
        <w:t>│   ├── rcm_vector_index.pkl    # only if using FAISS/pickle</w:t>
        <w:br/>
        <w:t>│   ├── metadata.json</w:t>
        <w:br/>
        <w:t>│   └── benchmark_results.json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├── services/</w:t>
        <w:br/>
        <w:t>│   │   ├── rag/</w:t>
        <w:br/>
        <w:t>│   │   ├── validators/</w:t>
        <w:br/>
        <w:t>│   │   └── schemas/</w:t>
        <w:br/>
        <w:t>│   ├── requirements.txt</w:t>
        <w:br/>
        <w:t>│   └── Dockerfile</w:t>
        <w:br/>
        <w:t>├── frontend/</w:t>
        <w:br/>
        <w:t>│   └── Next.js app</w:t>
        <w:br/>
        <w:t>├── notebooks/</w:t>
        <w:br/>
        <w:t>│   ├── 01_data_prep.ipynb</w:t>
        <w:br/>
        <w:t>│   ├── 02_dataset_build.ipynb</w:t>
        <w:br/>
        <w:t>│   ├── 03_train.ipynb</w:t>
        <w:br/>
        <w:t>│   ├── 04_evaluate.ipynb</w:t>
        <w:br/>
        <w:t>│   └── 05_export_gguf.ipynb</w:t>
        <w:br/>
        <w:t>└── README.md</w:t>
      </w:r>
    </w:p>
    <w:p>
      <w:pPr>
        <w:pStyle w:val="Callout"/>
        <w:spacing w:before="100" w:after="100"/>
      </w:pPr>
      <w:r>
        <w:t>Security: never deserialize an untrusted pickle. Pickle can execute arbitrary Python during loading. Only load a .pkl that your own pipeline generated and integrity-check it.</w:t>
      </w:r>
    </w:p>
    <w:p>
      <w:pPr>
        <w:pStyle w:val="Heading1"/>
      </w:pPr>
      <w:r>
        <w:t>16. FastAPI Backend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/api/v1/chat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General RCM assistant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/api/v1/coding/suggest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Coding assistance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/api/v1/claims/scrub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Claim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/api/v1/denials/analyze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Denial analysis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/api/v1/appeals/draft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Appeal draft generation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/api/v1/prior-auth/check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Prior authorization completeness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/api/v1/rag/search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Retrieve policy/reference documents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GET /api/v1/health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Health check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GET /api/v1/model/info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Model/version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 /api/v1/feedback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 feedback for future training</w:t>
            </w:r>
          </w:p>
        </w:tc>
      </w:tr>
    </w:tbl>
    <w:p/>
    <w:p>
      <w:pPr>
        <w:pStyle w:val="Heading2"/>
      </w:pPr>
      <w:r>
        <w:t>16.1 Inference response contract</w:t>
      </w:r>
    </w:p>
    <w:p>
      <w:pPr>
        <w:pStyle w:val="Code"/>
        <w:spacing w:after="80"/>
        <w:ind w:left="360"/>
      </w:pPr>
      <w:r>
        <w:t>{</w:t>
        <w:br/>
        <w:t xml:space="preserve">  "answer": "...",</w:t>
        <w:br/>
        <w:t xml:space="preserve">  "task": "denial_analysis",</w:t>
        <w:br/>
        <w:t xml:space="preserve">  "confidence": 0.82,</w:t>
        <w:br/>
        <w:t xml:space="preserve">  "sources": [</w:t>
        <w:br/>
        <w:t xml:space="preserve">    {"document_id": "...", "section": "...", "version": "..."}</w:t>
        <w:br/>
        <w:t xml:space="preserve">  ],</w:t>
        <w:br/>
        <w:t xml:space="preserve">  "warnings": [],</w:t>
        <w:br/>
        <w:t xml:space="preserve">  "requires_human_review": true,</w:t>
        <w:br/>
        <w:t xml:space="preserve">  "model_version": "rcm-slm-v1"</w:t>
        <w:br/>
        <w:t>}</w:t>
      </w:r>
    </w:p>
    <w:p>
      <w:pPr>
        <w:pStyle w:val="Heading1"/>
      </w:pPr>
      <w:r>
        <w:t>17. Next.js RCM Workbench</w:t>
      </w:r>
    </w:p>
    <w:p>
      <w:pPr>
        <w:pStyle w:val="ListBullet"/>
        <w:spacing w:after="40"/>
      </w:pPr>
      <w:r>
        <w:t>Dashboard: claims processed, denial trends, model accuracy, review queue.</w:t>
      </w:r>
    </w:p>
    <w:p>
      <w:pPr>
        <w:pStyle w:val="ListBullet"/>
        <w:spacing w:after="40"/>
      </w:pPr>
      <w:r>
        <w:t>RCM Chat: grounded Q&amp;A with citations.</w:t>
      </w:r>
    </w:p>
    <w:p>
      <w:pPr>
        <w:pStyle w:val="ListBullet"/>
        <w:spacing w:after="40"/>
      </w:pPr>
      <w:r>
        <w:t>Coding assistant: structured candidate codes with evidence.</w:t>
      </w:r>
    </w:p>
    <w:p>
      <w:pPr>
        <w:pStyle w:val="ListBullet"/>
        <w:spacing w:after="40"/>
      </w:pPr>
      <w:r>
        <w:t>Claim scrubber: field-level errors and warnings.</w:t>
      </w:r>
    </w:p>
    <w:p>
      <w:pPr>
        <w:pStyle w:val="ListBullet"/>
        <w:spacing w:after="40"/>
      </w:pPr>
      <w:r>
        <w:t>Denial center: denial reason → evidence → corrective action → appeal draft.</w:t>
      </w:r>
    </w:p>
    <w:p>
      <w:pPr>
        <w:pStyle w:val="ListBullet"/>
        <w:spacing w:after="40"/>
      </w:pPr>
      <w:r>
        <w:t>Audit panel: model version, timestamp, sources and reviewer.</w:t>
      </w:r>
    </w:p>
    <w:p>
      <w:pPr>
        <w:pStyle w:val="ListBullet"/>
        <w:spacing w:after="40"/>
      </w:pPr>
      <w:r>
        <w:t>Feedback controls: correct / incorrect / partially correct + correction field.</w:t>
      </w:r>
    </w:p>
    <w:p>
      <w:pPr>
        <w:pStyle w:val="ListBullet"/>
        <w:spacing w:after="40"/>
      </w:pPr>
      <w:r>
        <w:t>Admin model panel: benchmark version, dataset version and deployment version.</w:t>
      </w:r>
    </w:p>
    <w:p>
      <w:pPr>
        <w:pStyle w:val="Heading1"/>
      </w:pPr>
      <w:r>
        <w:t>18. Neon PostgreSQL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Important 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email, role, created_at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task_type, status, created_at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claims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case_id, payer, codes, amount,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predictions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case_id, model_version, output, confidence, created_at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retrieval_sources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prediction_id, document_id, chunk_id,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feedback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prediction_id, label, correction, reviewer_id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audit_logs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actor, action, model_version, 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id, title, source, version, effective_date, checksum</w:t>
            </w:r>
          </w:p>
        </w:tc>
      </w:tr>
    </w:tbl>
    <w:p/>
    <w:p>
      <w:pPr>
        <w:pStyle w:val="Heading1"/>
      </w:pPr>
      <w:r>
        <w:t>19. Resend: Keep It Optional</w:t>
      </w:r>
    </w:p>
    <w:p>
      <w:r>
        <w:t>You do not need Resend for the first working model. Add it when the product needs notifications.</w:t>
      </w:r>
    </w:p>
    <w:p>
      <w:pPr>
        <w:pStyle w:val="ListBullet"/>
        <w:spacing w:after="40"/>
      </w:pPr>
      <w:r>
        <w:t>New denial detected → reviewer email.</w:t>
      </w:r>
    </w:p>
    <w:p>
      <w:pPr>
        <w:pStyle w:val="ListBullet"/>
        <w:spacing w:after="40"/>
      </w:pPr>
      <w:r>
        <w:t>Appeal draft ready → reviewer email.</w:t>
      </w:r>
    </w:p>
    <w:p>
      <w:pPr>
        <w:pStyle w:val="ListBullet"/>
        <w:spacing w:after="40"/>
      </w:pPr>
      <w:r>
        <w:t>Daily/weekly RCM report → scheduled email.</w:t>
      </w:r>
    </w:p>
    <w:p>
      <w:pPr>
        <w:pStyle w:val="ListBullet"/>
        <w:spacing w:after="40"/>
      </w:pPr>
      <w:r>
        <w:t>User invitation/password workflow if you implement one.</w:t>
      </w:r>
    </w:p>
    <w:p>
      <w:r>
        <w:t>Resend currently advertises a free tier of 3,000 transactional emails/month with a 100-email/day limit, subject to its current terms and pricing.</w:t>
      </w:r>
    </w:p>
    <w:p>
      <w:pPr>
        <w:pStyle w:val="Heading1"/>
      </w:pPr>
      <w:r>
        <w:t>20. Free Deployment Architecture</w:t>
      </w:r>
    </w:p>
    <w:p>
      <w:pPr>
        <w:pStyle w:val="Code"/>
        <w:spacing w:after="80"/>
        <w:ind w:left="360"/>
      </w:pPr>
      <w:r>
        <w:t>GitHub</w:t>
        <w:br/>
        <w:t xml:space="preserve">  ├── frontend → Vercel</w:t>
        <w:br/>
        <w:t xml:space="preserve">  └── backend  → Render</w:t>
        <w:br/>
        <w:t xml:space="preserve">                   │</w:t>
        <w:br/>
        <w:t xml:space="preserve">                   └── Neon PostgreSQL</w:t>
        <w:br/>
        <w:br/>
        <w:t>Optional:</w:t>
        <w:br/>
        <w:t>Render backend → Resend</w:t>
        <w:br/>
        <w:t>Local/Colab model artifacts → backend model directory</w:t>
        <w:br/>
      </w:r>
    </w:p>
    <w:p>
      <w:r>
        <w:t>Important: a GGUF model can be large relative to typical free web-service resources. Do not assume a Render Free instance can comfortably load a large quantized model. Measure RAM and cold-start time. If the GGUF is too large, keep inference local for the demo, use a smaller quantized model, or separate inference from the public API.</w:t>
      </w:r>
    </w:p>
    <w:p>
      <w:pPr>
        <w:pStyle w:val="Callout"/>
        <w:spacing w:before="100" w:after="100"/>
      </w:pPr>
      <w:r>
        <w:t>For a genuinely zero-cost public demo, the most realistic architecture is: Vercel frontend + lightweight Render FastAPI API + Neon DB + small GGUF inference if it fits. Heavy inference should not be forced onto a 512 MB free web service.</w:t>
      </w:r>
    </w:p>
    <w:p>
      <w:pPr>
        <w:pStyle w:val="Heading1"/>
      </w:pPr>
      <w:r>
        <w:t>21. Healthcare/RCM Safety Layer</w:t>
      </w:r>
    </w:p>
    <w:p>
      <w:pPr>
        <w:pStyle w:val="ListBullet"/>
        <w:spacing w:after="40"/>
      </w:pPr>
      <w:r>
        <w:t>Do not use real PHI in a public demo.</w:t>
      </w:r>
    </w:p>
    <w:p>
      <w:pPr>
        <w:pStyle w:val="ListBullet"/>
        <w:spacing w:after="40"/>
      </w:pPr>
      <w:r>
        <w:t>Apply PHI redaction before logging.</w:t>
      </w:r>
    </w:p>
    <w:p>
      <w:pPr>
        <w:pStyle w:val="ListBullet"/>
        <w:spacing w:after="40"/>
      </w:pPr>
      <w:r>
        <w:t>Do not store raw prompts indefinitely by default.</w:t>
      </w:r>
    </w:p>
    <w:p>
      <w:pPr>
        <w:pStyle w:val="ListBullet"/>
        <w:spacing w:after="40"/>
      </w:pPr>
      <w:r>
        <w:t>Use role-based access for RCM users.</w:t>
      </w:r>
    </w:p>
    <w:p>
      <w:pPr>
        <w:pStyle w:val="ListBullet"/>
        <w:spacing w:after="40"/>
      </w:pPr>
      <w:r>
        <w:t>Encrypt secrets using deployment environment variables.</w:t>
      </w:r>
    </w:p>
    <w:p>
      <w:pPr>
        <w:pStyle w:val="ListBullet"/>
        <w:spacing w:after="40"/>
      </w:pPr>
      <w:r>
        <w:t>Log model version and retrieved document version.</w:t>
      </w:r>
    </w:p>
    <w:p>
      <w:pPr>
        <w:pStyle w:val="ListBullet"/>
        <w:spacing w:after="40"/>
      </w:pPr>
      <w:r>
        <w:t>Validate generated codes against an authoritative/local reference list.</w:t>
      </w:r>
    </w:p>
    <w:p>
      <w:pPr>
        <w:pStyle w:val="ListBullet"/>
        <w:spacing w:after="40"/>
      </w:pPr>
      <w:r>
        <w:t>Require human review for claim submission, coding finalization, denial appeals and other high-impact actions.</w:t>
      </w:r>
    </w:p>
    <w:p>
      <w:pPr>
        <w:pStyle w:val="ListBullet"/>
        <w:spacing w:after="40"/>
      </w:pPr>
      <w:r>
        <w:t>Add prompt-injection tests to the benchmark.</w:t>
      </w:r>
    </w:p>
    <w:p>
      <w:pPr>
        <w:pStyle w:val="ListBullet"/>
        <w:spacing w:after="40"/>
      </w:pPr>
      <w:r>
        <w:t>Treat retrieved documents as data, not instructions.</w:t>
      </w:r>
    </w:p>
    <w:p>
      <w:pPr>
        <w:pStyle w:val="Heading1"/>
      </w:pPr>
      <w:r>
        <w:t>22. Monitoring and Continuous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Track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task accuracy, F1, AUC, invalid-code 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retrieval recall@k, citation correctness, stale-document 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PHI leakage, prompt-injection success, unsafe automation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latency, errors, timeouts, cold starts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review acceptance, correction rate, feedback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distribution drift, new denial categories, new payer policies</w:t>
            </w:r>
          </w:p>
        </w:tc>
      </w:tr>
    </w:tbl>
    <w:p/>
    <w:p>
      <w:r>
        <w:t>Use feedback to create a hard-example queue. Periodically curate the queue, validate labels and run another adapter training cycle. The supplied source specifically discusses continual learning because coding and payer rules evolve.</w:t>
      </w:r>
    </w:p>
    <w:p>
      <w:pPr>
        <w:pStyle w:val="Heading1"/>
      </w:pPr>
      <w:r>
        <w:t>23. Zero-Cost Experiment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Change one variable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Keep fixed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Base model A vs 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Same dataset/test set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Keep stronger baseline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LoRA r=8 vs 16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Model/data/training budget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Keep better validation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2 vs 3 vs 5 epochs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Everything else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Stop before overfit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SFT only vs SFT+RAG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Same benchmark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Measure grounding gain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RAG top-k 3/5/8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Same retriever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Choose best retrieval/latency tradeoff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Validator on/off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Same model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Measure invalid-output reduction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Synthetic-only vs mixed 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Same benchmark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Measure real/generalization gain</w:t>
            </w:r>
          </w:p>
        </w:tc>
      </w:tr>
    </w:tbl>
    <w:p/>
    <w:p>
      <w:pPr>
        <w:pStyle w:val="Callout"/>
        <w:spacing w:before="100" w:after="100"/>
      </w:pPr>
      <w:r>
        <w:t>Do not run random hyperparameter searches on free Colab. Use small, deliberate experiments and keep a CSV/JSON experiment log.</w:t>
      </w:r>
    </w:p>
    <w:p>
      <w:pPr>
        <w:pStyle w:val="Heading1"/>
      </w:pPr>
      <w:r>
        <w:t>24. Exact Colab Notebook Structure</w:t>
      </w:r>
    </w:p>
    <w:p>
      <w:pPr>
        <w:pStyle w:val="ListBullet"/>
        <w:spacing w:after="40"/>
      </w:pPr>
      <w:r>
        <w:t>00_setup.ipynb — install packages, verify accelerator, seed everything</w:t>
      </w:r>
    </w:p>
    <w:p>
      <w:pPr>
        <w:pStyle w:val="ListBullet"/>
        <w:spacing w:after="40"/>
      </w:pPr>
      <w:r>
        <w:t>01_data_download.ipynb — download/access permitted public datasets</w:t>
      </w:r>
    </w:p>
    <w:p>
      <w:pPr>
        <w:pStyle w:val="ListBullet"/>
        <w:spacing w:after="40"/>
      </w:pPr>
      <w:r>
        <w:t>02_deidentify_and_normalize.ipynb — normalization and PHI checks</w:t>
      </w:r>
    </w:p>
    <w:p>
      <w:pPr>
        <w:pStyle w:val="ListBullet"/>
        <w:spacing w:after="40"/>
      </w:pPr>
      <w:r>
        <w:t>03_build_rcm_dataset.ipynb — schema, synthetic generation, deduplication</w:t>
      </w:r>
    </w:p>
    <w:p>
      <w:pPr>
        <w:pStyle w:val="ListBullet"/>
        <w:spacing w:after="40"/>
      </w:pPr>
      <w:r>
        <w:t>04_split_and_validate.ipynb — patient/group split + leakage tests</w:t>
      </w:r>
    </w:p>
    <w:p>
      <w:pPr>
        <w:pStyle w:val="ListBullet"/>
        <w:spacing w:after="40"/>
      </w:pPr>
      <w:r>
        <w:t>05_baseline_eval.ipynb — benchmark the untouched base model</w:t>
      </w:r>
    </w:p>
    <w:p>
      <w:pPr>
        <w:pStyle w:val="ListBullet"/>
        <w:spacing w:after="40"/>
      </w:pPr>
      <w:r>
        <w:t>06_lora_train.ipynb — LoRA/QLoRA training</w:t>
      </w:r>
    </w:p>
    <w:p>
      <w:pPr>
        <w:pStyle w:val="ListBullet"/>
        <w:spacing w:after="40"/>
      </w:pPr>
      <w:r>
        <w:t>07_task_eval.ipynb — coding/denial/scrubbing metrics</w:t>
      </w:r>
    </w:p>
    <w:p>
      <w:pPr>
        <w:pStyle w:val="ListBullet"/>
        <w:spacing w:after="40"/>
      </w:pPr>
      <w:r>
        <w:t>08_rag_build.ipynb — chunk/reference/index creation</w:t>
      </w:r>
    </w:p>
    <w:p>
      <w:pPr>
        <w:pStyle w:val="ListBullet"/>
        <w:spacing w:after="40"/>
      </w:pPr>
      <w:r>
        <w:t>09_rag_eval.ipynb — retrieval + grounded answer benchmark</w:t>
      </w:r>
    </w:p>
    <w:p>
      <w:pPr>
        <w:pStyle w:val="ListBullet"/>
        <w:spacing w:after="40"/>
      </w:pPr>
      <w:r>
        <w:t>10_safety_eval.ipynb — PHI, prompt injection, invalid-code tests</w:t>
      </w:r>
    </w:p>
    <w:p>
      <w:pPr>
        <w:pStyle w:val="ListBullet"/>
        <w:spacing w:after="40"/>
      </w:pPr>
      <w:r>
        <w:t>11_merge_and_export.ipynb — adapter merge where appropriate</w:t>
      </w:r>
    </w:p>
    <w:p>
      <w:pPr>
        <w:pStyle w:val="ListBullet"/>
        <w:spacing w:after="40"/>
      </w:pPr>
      <w:r>
        <w:t>12_gguf_convert.ipynb — GGUF conversion and quantization</w:t>
      </w:r>
    </w:p>
    <w:p>
      <w:pPr>
        <w:pStyle w:val="ListBullet"/>
        <w:spacing w:after="40"/>
      </w:pPr>
      <w:r>
        <w:t>13_local_inference_test.ipynb — llama.cpp-compatible smoke test</w:t>
      </w:r>
    </w:p>
    <w:p>
      <w:pPr>
        <w:pStyle w:val="ListBullet"/>
        <w:spacing w:after="40"/>
      </w:pPr>
      <w:r>
        <w:t>14_package_artifacts.ipynb — produce final model/index/metadata bundle</w:t>
      </w:r>
    </w:p>
    <w:p>
      <w:pPr>
        <w:pStyle w:val="Heading1"/>
      </w:pPr>
      <w:r>
        <w:t>25. Definition of Done</w:t>
      </w:r>
    </w:p>
    <w:p>
      <w:pPr>
        <w:spacing w:after="20"/>
      </w:pPr>
      <w:r>
        <w:t>☐ A locked RCM benchmark exists.</w:t>
      </w:r>
    </w:p>
    <w:p>
      <w:pPr>
        <w:spacing w:after="20"/>
      </w:pPr>
      <w:r>
        <w:t>☐ The base model has baseline scores.</w:t>
      </w:r>
    </w:p>
    <w:p>
      <w:pPr>
        <w:spacing w:after="20"/>
      </w:pPr>
      <w:r>
        <w:t>☐ Training data has provenance and split metadata.</w:t>
      </w:r>
    </w:p>
    <w:p>
      <w:pPr>
        <w:spacing w:after="20"/>
      </w:pPr>
      <w:r>
        <w:t>☐ No PHI is used in the public demo.</w:t>
      </w:r>
    </w:p>
    <w:p>
      <w:pPr>
        <w:spacing w:after="20"/>
      </w:pPr>
      <w:r>
        <w:t>☐ Train/validation/test leakage checks pass.</w:t>
      </w:r>
    </w:p>
    <w:p>
      <w:pPr>
        <w:spacing w:after="20"/>
      </w:pPr>
      <w:r>
        <w:t>☐ Fine-tuned model beats or meaningfully improves the baseline on target tasks.</w:t>
      </w:r>
    </w:p>
    <w:p>
      <w:pPr>
        <w:spacing w:after="20"/>
      </w:pPr>
      <w:r>
        <w:t>☐ Invalid code generation is measured.</w:t>
      </w:r>
    </w:p>
    <w:p>
      <w:pPr>
        <w:spacing w:after="20"/>
      </w:pPr>
      <w:r>
        <w:t>☐ RAG retrieval quality is measured.</w:t>
      </w:r>
    </w:p>
    <w:p>
      <w:pPr>
        <w:spacing w:after="20"/>
      </w:pPr>
      <w:r>
        <w:t>☐ Safety tests are automated.</w:t>
      </w:r>
    </w:p>
    <w:p>
      <w:pPr>
        <w:spacing w:after="20"/>
      </w:pPr>
      <w:r>
        <w:t>☐ GGUF inference works locally.</w:t>
      </w:r>
    </w:p>
    <w:p>
      <w:pPr>
        <w:spacing w:after="20"/>
      </w:pPr>
      <w:r>
        <w:t>☐ FastAPI health/model endpoints work.</w:t>
      </w:r>
    </w:p>
    <w:p>
      <w:pPr>
        <w:spacing w:after="20"/>
      </w:pPr>
      <w:r>
        <w:t>☐ Next.js UI can submit RCM cases and display grounded answers.</w:t>
      </w:r>
    </w:p>
    <w:p>
      <w:pPr>
        <w:spacing w:after="20"/>
      </w:pPr>
      <w:r>
        <w:t>☐ Neon stores cases, feedback and audit metadata.</w:t>
      </w:r>
    </w:p>
    <w:p>
      <w:pPr>
        <w:spacing w:after="20"/>
      </w:pPr>
      <w:r>
        <w:t>☐ Resend is integrated only where useful.</w:t>
      </w:r>
    </w:p>
    <w:p>
      <w:pPr>
        <w:spacing w:after="20"/>
      </w:pPr>
      <w:r>
        <w:t>☐ Vercel/Render deployment works within free limits.</w:t>
      </w:r>
    </w:p>
    <w:p>
      <w:pPr>
        <w:spacing w:after="20"/>
      </w:pPr>
      <w:r>
        <w:t>☐ Every prediction records model version.</w:t>
      </w:r>
    </w:p>
    <w:p>
      <w:pPr>
        <w:spacing w:after="20"/>
      </w:pPr>
      <w:r>
        <w:t>☐ Critical decisions require human review.</w:t>
      </w:r>
    </w:p>
    <w:p>
      <w:pPr>
        <w:pStyle w:val="Heading1"/>
      </w:pPr>
      <w:r>
        <w:t>26. Recommended Execution Order</w:t>
      </w:r>
    </w:p>
    <w:p>
      <w:pPr>
        <w:pStyle w:val="ListNumber"/>
        <w:spacing w:after="40"/>
      </w:pPr>
      <w:r>
        <w:t>Lock the target tasks and benchmark.</w:t>
      </w:r>
    </w:p>
    <w:p>
      <w:pPr>
        <w:pStyle w:val="ListNumber"/>
        <w:spacing w:after="40"/>
      </w:pPr>
      <w:r>
        <w:t>Acquire permitted public/synthetic RCM data.</w:t>
      </w:r>
    </w:p>
    <w:p>
      <w:pPr>
        <w:pStyle w:val="ListNumber"/>
        <w:spacing w:after="40"/>
      </w:pPr>
      <w:r>
        <w:t>Build the unified dataset schema.</w:t>
      </w:r>
    </w:p>
    <w:p>
      <w:pPr>
        <w:pStyle w:val="ListNumber"/>
        <w:spacing w:after="40"/>
      </w:pPr>
      <w:r>
        <w:t>Create a clean 5–10k high-quality pilot dataset before attempting huge training.</w:t>
      </w:r>
    </w:p>
    <w:p>
      <w:pPr>
        <w:pStyle w:val="ListNumber"/>
        <w:spacing w:after="40"/>
      </w:pPr>
      <w:r>
        <w:t>Run the base-model benchmark.</w:t>
      </w:r>
    </w:p>
    <w:p>
      <w:pPr>
        <w:pStyle w:val="ListNumber"/>
        <w:spacing w:after="40"/>
      </w:pPr>
      <w:r>
        <w:t>Train the first LoRA adapter.</w:t>
      </w:r>
    </w:p>
    <w:p>
      <w:pPr>
        <w:pStyle w:val="ListNumber"/>
        <w:spacing w:after="40"/>
      </w:pPr>
      <w:r>
        <w:t>Evaluate and identify failure modes.</w:t>
      </w:r>
    </w:p>
    <w:p>
      <w:pPr>
        <w:pStyle w:val="ListNumber"/>
        <w:spacing w:after="40"/>
      </w:pPr>
      <w:r>
        <w:t>Add hard negatives and targeted examples.</w:t>
      </w:r>
    </w:p>
    <w:p>
      <w:pPr>
        <w:pStyle w:val="ListNumber"/>
        <w:spacing w:after="40"/>
      </w:pPr>
      <w:r>
        <w:t>Train the second adapter.</w:t>
      </w:r>
    </w:p>
    <w:p>
      <w:pPr>
        <w:pStyle w:val="ListNumber"/>
        <w:spacing w:after="40"/>
      </w:pPr>
      <w:r>
        <w:t>Build RAG over policy/reference material.</w:t>
      </w:r>
    </w:p>
    <w:p>
      <w:pPr>
        <w:pStyle w:val="ListNumber"/>
        <w:spacing w:after="40"/>
      </w:pPr>
      <w:r>
        <w:t>Add deterministic code/claim validators.</w:t>
      </w:r>
    </w:p>
    <w:p>
      <w:pPr>
        <w:pStyle w:val="ListNumber"/>
        <w:spacing w:after="40"/>
      </w:pPr>
      <w:r>
        <w:t>Run the full safety benchmark.</w:t>
      </w:r>
    </w:p>
    <w:p>
      <w:pPr>
        <w:pStyle w:val="ListNumber"/>
        <w:spacing w:after="40"/>
      </w:pPr>
      <w:r>
        <w:t>Convert/package the final model as GGUF where the architecture supports it.</w:t>
      </w:r>
    </w:p>
    <w:p>
      <w:pPr>
        <w:pStyle w:val="ListNumber"/>
        <w:spacing w:after="40"/>
      </w:pPr>
      <w:r>
        <w:t>Build FastAPI inference and tool orchestration.</w:t>
      </w:r>
    </w:p>
    <w:p>
      <w:pPr>
        <w:pStyle w:val="ListNumber"/>
        <w:spacing w:after="40"/>
      </w:pPr>
      <w:r>
        <w:t>Connect Neon PostgreSQL.</w:t>
      </w:r>
    </w:p>
    <w:p>
      <w:pPr>
        <w:pStyle w:val="ListNumber"/>
        <w:spacing w:after="40"/>
      </w:pPr>
      <w:r>
        <w:t>Build the Next.js RCM Workbench.</w:t>
      </w:r>
    </w:p>
    <w:p>
      <w:pPr>
        <w:pStyle w:val="ListNumber"/>
        <w:spacing w:after="40"/>
      </w:pPr>
      <w:r>
        <w:t>Add Resend notifications if required.</w:t>
      </w:r>
    </w:p>
    <w:p>
      <w:pPr>
        <w:pStyle w:val="ListNumber"/>
        <w:spacing w:after="40"/>
      </w:pPr>
      <w:r>
        <w:t>Deploy frontend to Vercel and backend to Render.</w:t>
      </w:r>
    </w:p>
    <w:p>
      <w:pPr>
        <w:pStyle w:val="ListNumber"/>
        <w:spacing w:after="40"/>
      </w:pPr>
      <w:r>
        <w:t>Run end-to-end tests.</w:t>
      </w:r>
    </w:p>
    <w:p>
      <w:pPr>
        <w:pStyle w:val="ListNumber"/>
        <w:spacing w:after="40"/>
      </w:pPr>
      <w:r>
        <w:t>Freeze model v1 and document benchmark results.</w:t>
      </w:r>
    </w:p>
    <w:p>
      <w:pPr>
        <w:pStyle w:val="Heading1"/>
      </w:pPr>
      <w:r>
        <w:t>27. Things You Should NOT Do</w:t>
      </w:r>
    </w:p>
    <w:p>
      <w:pPr>
        <w:pStyle w:val="ListBullet"/>
        <w:spacing w:after="40"/>
      </w:pPr>
      <w:r>
        <w:t>Do not train on scraped medical text without checking licensing and privacy.</w:t>
      </w:r>
    </w:p>
    <w:p>
      <w:pPr>
        <w:pStyle w:val="ListBullet"/>
        <w:spacing w:after="40"/>
      </w:pPr>
      <w:r>
        <w:t>Do not mix training and test data.</w:t>
      </w:r>
    </w:p>
    <w:p>
      <w:pPr>
        <w:pStyle w:val="ListBullet"/>
        <w:spacing w:after="40"/>
      </w:pPr>
      <w:r>
        <w:t>Do not assume synthetic data is automatically correct.</w:t>
      </w:r>
    </w:p>
    <w:p>
      <w:pPr>
        <w:pStyle w:val="ListBullet"/>
        <w:spacing w:after="40"/>
      </w:pPr>
      <w:r>
        <w:t>Do not fine-tune the model to memorize rapidly changing payer policies.</w:t>
      </w:r>
    </w:p>
    <w:p>
      <w:pPr>
        <w:pStyle w:val="ListBullet"/>
        <w:spacing w:after="40"/>
      </w:pPr>
      <w:r>
        <w:t>Do not let the LLM invent codes when a lookup tool can verify them.</w:t>
      </w:r>
    </w:p>
    <w:p>
      <w:pPr>
        <w:pStyle w:val="ListBullet"/>
        <w:spacing w:after="40"/>
      </w:pPr>
      <w:r>
        <w:t>Do not load untrusted .pkl files.</w:t>
      </w:r>
    </w:p>
    <w:p>
      <w:pPr>
        <w:pStyle w:val="ListBullet"/>
        <w:spacing w:after="40"/>
      </w:pPr>
      <w:r>
        <w:t>Do not put the full model into a tiny free web service without measuring memory.</w:t>
      </w:r>
    </w:p>
    <w:p>
      <w:pPr>
        <w:pStyle w:val="ListBullet"/>
        <w:spacing w:after="40"/>
      </w:pPr>
      <w:r>
        <w:t>Do not report only loss or generic benchmark scores.</w:t>
      </w:r>
    </w:p>
    <w:p>
      <w:pPr>
        <w:pStyle w:val="ListBullet"/>
        <w:spacing w:after="40"/>
      </w:pPr>
      <w:r>
        <w:t>Do not expose PHI through logs, analytics or frontend error messages.</w:t>
      </w:r>
    </w:p>
    <w:p>
      <w:pPr>
        <w:pStyle w:val="ListBullet"/>
        <w:spacing w:after="40"/>
      </w:pPr>
      <w:r>
        <w:t>Do not let the model autonomously submit claims or finalize high-impact decisions.</w:t>
      </w:r>
    </w:p>
    <w:p>
      <w:pPr>
        <w:pStyle w:val="Heading1"/>
      </w:pPr>
      <w:r>
        <w:t>28. Final Deliverables You Should 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rcm_dataset.jsonl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Training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rcm_benchmark.jsonl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Locked evaluation 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adapter_model.safetensors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LoRA weights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adapter_config.json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Adapter 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rcm-slm-q4.gguf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 quantized inference artifact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rcm_vector_index.pkl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Optional FAISS index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metadata.json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Model/data/version provenance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benchmark_results.json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Reproducible evaluation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FastAPI 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Inference + tools + auth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Next.js 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RCM user interface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Neon schema/migrations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Persistent data layer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Dockerfile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 deployment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README.md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Setup, evaluation and deployment instructions</w:t>
            </w:r>
          </w:p>
        </w:tc>
      </w:tr>
    </w:tbl>
    <w:p/>
    <w:p>
      <w:pPr>
        <w:pStyle w:val="Heading1"/>
      </w:pPr>
      <w:r>
        <w:t>29. Source and Current Platform References</w:t>
      </w:r>
    </w:p>
    <w:p>
      <w:r>
        <w:t>Primary supplied source:</w:t>
      </w:r>
    </w:p>
    <w:p>
      <w:r>
        <w:t>• Domain-Specific Fine-Tuning of LLMs for Revenue Cycle Management (RCM), 14-page source document supplied with this project. It covers RCM fundamentals, datasets, model selection, QLoRA/PEFT, evaluation, RAG, tools, deployment and security.</w:t>
      </w:r>
    </w:p>
    <w:p>
      <w:r>
        <w:t>Key source sections used in this blueprint:</w:t>
      </w:r>
    </w:p>
    <w:p>
      <w:pPr>
        <w:pStyle w:val="ListBullet"/>
        <w:spacing w:after="40"/>
      </w:pPr>
      <w:r>
        <w:t>RCM fundamentals and tasks: supplied source, pages 2–3.</w:t>
      </w:r>
    </w:p>
    <w:p>
      <w:pPr>
        <w:pStyle w:val="ListBullet"/>
        <w:spacing w:after="40"/>
      </w:pPr>
      <w:r>
        <w:t>Datasets and model candidates: supplied source, pages 4–6.</w:t>
      </w:r>
    </w:p>
    <w:p>
      <w:pPr>
        <w:pStyle w:val="ListBullet"/>
        <w:spacing w:after="40"/>
      </w:pPr>
      <w:r>
        <w:t>QLoRA/LoRA workflow and evaluation: supplied source, pages 6–9.</w:t>
      </w:r>
    </w:p>
    <w:p>
      <w:pPr>
        <w:pStyle w:val="ListBullet"/>
        <w:spacing w:after="40"/>
      </w:pPr>
      <w:r>
        <w:t>Advanced RAG/tools/continual learning: supplied source, pages 9–10.</w:t>
      </w:r>
    </w:p>
    <w:p>
      <w:pPr>
        <w:pStyle w:val="ListBullet"/>
        <w:spacing w:after="40"/>
      </w:pPr>
      <w:r>
        <w:t>Deployment, security and workflow diagrams: supplied source, pages 10–12.</w:t>
      </w:r>
    </w:p>
    <w:p>
      <w:r>
        <w:t>Current platform checks performed while preparing this blueprint:</w:t>
      </w:r>
    </w:p>
    <w:p>
      <w:pPr>
        <w:pStyle w:val="ListBullet"/>
        <w:spacing w:after="40"/>
      </w:pPr>
      <w:r>
        <w:t>Render: official pricing/docs currently list Free web services with 512 MB RAM and document 15-minute idle spin-down; free instances are positioned for testing/hobby projects.</w:t>
      </w:r>
    </w:p>
    <w:p>
      <w:pPr>
        <w:pStyle w:val="ListBullet"/>
        <w:spacing w:after="40"/>
      </w:pPr>
      <w:r>
        <w:t>Resend: official pricing currently lists a $0 free tier with 3,000 transactional emails/month and 100 emails/day.</w:t>
      </w:r>
    </w:p>
    <w:p>
      <w:pPr>
        <w:pStyle w:val="ListBullet"/>
        <w:spacing w:after="40"/>
      </w:pPr>
      <w:r>
        <w:t>Vercel/Neon: use their current free/Hobby allowances and verify limits at deployment time because quotas and product terms can change.</w:t>
      </w:r>
    </w:p>
    <w:p>
      <w:r>
        <w:t>Note: The source document is the basis for RCM methodology. Current platform limits are time-sensitive and should be rechecked before deployment.</w:t>
      </w:r>
    </w:p>
    <w:p>
      <w:pPr>
        <w:pStyle w:val="Heading1"/>
      </w:pPr>
      <w:r>
        <w:t>30. Bottom Line</w:t>
      </w:r>
    </w:p>
    <w:p>
      <w:r>
        <w:t>If the goal is the highest practical RCM accuracy at zero monetary cost, the winning architecture is not “largest model possible.” It is a small, instruction-tuned open model adapted with high-quality RCM SFT/LoRA, surrounded by RAG, deterministic validators, tool calls, strict evaluation and human review.</w:t>
      </w:r>
    </w:p>
    <w:p>
      <w:pPr>
        <w:pStyle w:val="Callout"/>
        <w:spacing w:before="100" w:after="100"/>
      </w:pPr>
      <w:r>
        <w:t>Recommended v1: small open instruct model + LoRA adapter + FAISS/pgvector RAG + FastAPI + Next.js + Neon + optional Resend + GGUF local inference. Use Colab TPU when the chosen training stack supports it; otherwise use the free Colab GPU for the QLoRA recipe rather than forcing an incompatible TPU workflow.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RCM SLM Zero-Cost Maximum-Accuracy Blueprint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  <w:style w:type="paragraph" w:customStyle="1" w:styleId="Code">
    <w:name w:val="Code"/>
    <w:rPr>
      <w:rFonts w:ascii="Consolas" w:hAnsi="Consolas"/>
      <w:sz w:val="16"/>
    </w:rPr>
  </w:style>
  <w:style w:type="paragraph" w:customStyle="1" w:styleId="Callout">
    <w:name w:val="Callout"/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