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3F3F3F"/>
          </w:tcPr>
          <w:p>
            <w:pPr>
              <w:jc w:val="center"/>
            </w:pPr>
            <w:r>
              <w:rPr>
                <w:b/>
                <w:color w:val="FFFFFF"/>
                <w:sz w:val="32"/>
              </w:rPr>
              <w:t>TEAM CHARTER</w:t>
            </w:r>
          </w:p>
        </w:tc>
      </w:tr>
    </w:tbl>
    <w:p>
      <w:r>
        <w:rPr>
          <w:b w:val="0"/>
          <w:i/>
        </w:rPr>
        <w:t>Form 2.27, A Project Manager's Book of Forms, 3rd edition, PDF pages 122 to 123 (printed pages 111 to 112); PMBOK 6 section 9.1.3.2, printed pages 319 to 320 (PDF pages 358 to 359). Built from the charter as committed on 16 September 2026 and the scope package as committed on 14 October 2026. A box that prints numbered lines is one cell with its entries written inline. Plain text is copied from the charter; highlighted text is a proposal for the team to confirm, taken from the book's own examples, because the book says the charter works best when the team develops it. [TBD] marks what no project document states. The signature lines are empty. Form 2.26 does not exist yet, so nothing was compared with it.</w:t>
      </w:r>
    </w:p>
    <w:p>
      <w:r>
        <w:rPr>
          <w:b/>
          <w:i w:val="0"/>
        </w:rPr>
        <w:t>Project Title:</w:t>
      </w:r>
      <w:r>
        <w:rPr>
          <w:b w:val="0"/>
          <w:i w:val="0"/>
        </w:rPr>
        <w:t xml:space="preserve"> Development and Deployment of a Learning Center Management Software</w:t>
      </w:r>
    </w:p>
    <w:p>
      <w:r>
        <w:rPr>
          <w:b/>
          <w:i w:val="0"/>
        </w:rPr>
        <w:t>Date Prepared:</w:t>
      </w:r>
      <w:r>
        <w:rPr>
          <w:b w:val="0"/>
          <w:i w:val="0"/>
        </w:rPr>
        <w:t xml:space="preserve"> 20 October 2026</w:t>
      </w:r>
    </w:p>
    <w:p>
      <w:r>
        <w:br w:type="page"/>
      </w:r>
    </w:p>
    <w:tbl>
      <w:tblPr>
        <w:tblW w:type="auto" w:w="0"/>
        <w:jc w:val="center"/>
        <w:tblLook w:firstColumn="1" w:firstRow="1" w:lastColumn="0" w:lastRow="0" w:noHBand="0" w:noVBand="1" w:val="04A0"/>
      </w:tblPr>
      <w:tblGrid>
        <w:gridCol w:w="8640"/>
      </w:tblGrid>
      <w:tr>
        <w:tc>
          <w:tcPr>
            <w:tcW w:type="dxa" w:w="8640"/>
            <w:shd w:val="clear" w:fill="3F3F3F"/>
          </w:tcPr>
          <w:p>
            <w:pPr>
              <w:jc w:val="center"/>
            </w:pPr>
            <w:r>
              <w:rPr>
                <w:b/>
                <w:color w:val="FFFFFF"/>
                <w:sz w:val="32"/>
              </w:rPr>
              <w:t>TEAM CHARTER</w:t>
            </w:r>
          </w:p>
        </w:tc>
      </w:tr>
    </w:tbl>
    <w:tbl>
      <w:tblPr>
        <w:tblStyle w:val="TableGrid"/>
        <w:tblW w:type="auto" w:w="0"/>
        <w:tblLook w:firstColumn="1" w:firstRow="1" w:lastColumn="0" w:lastRow="0" w:noHBand="0" w:noVBand="1" w:val="04A0"/>
      </w:tblPr>
      <w:tblGrid>
        <w:gridCol w:w="4320"/>
        <w:gridCol w:w="4320"/>
      </w:tblGrid>
      <w:tr>
        <w:tc>
          <w:tcPr>
            <w:tcW w:type="dxa" w:w="4320"/>
            <w:shd w:val="clear" w:fill="E8E8E8"/>
          </w:tcPr>
          <w:p>
            <w:r/>
            <w:r>
              <w:t>Field</w:t>
            </w:r>
          </w:p>
        </w:tc>
        <w:tc>
          <w:tcPr>
            <w:tcW w:type="dxa" w:w="4320"/>
            <w:shd w:val="clear" w:fill="E8E8E8"/>
          </w:tcPr>
          <w:p>
            <w:r/>
            <w:r>
              <w:t>Content</w:t>
            </w:r>
          </w:p>
        </w:tc>
      </w:tr>
      <w:tr>
        <w:tc>
          <w:tcPr>
            <w:tcW w:type="dxa" w:w="4320"/>
          </w:tcPr>
          <w:p>
            <w:r/>
            <w:r>
              <w:rPr>
                <w:b/>
                <w:i w:val="0"/>
              </w:rPr>
              <w:t>Team Values and Principles</w:t>
            </w:r>
          </w:p>
        </w:tc>
        <w:tc>
          <w:tcPr>
            <w:tcW w:type="dxa" w:w="4320"/>
          </w:tcPr>
          <w:p>
            <w:r/>
            <w:r>
              <w:rPr>
                <w:b w:val="0"/>
                <w:i w:val="0"/>
              </w:rPr>
              <w:t xml:space="preserve">(1) Each work package has one owner, the Responsible Person of its dictionary sheet. (2) A forecast slip or overrun is reported to the sponsor when it is seen, and the plan is re-planned rather than compressed silently. (3) </w:t>
            </w:r>
            <w:r>
              <w:rPr>
                <w:b w:val="0"/>
                <w:i w:val="0"/>
                <w:shd w:val="clear" w:fill="FFFF00"/>
              </w:rPr>
              <w:t>Mutual respect.</w:t>
            </w:r>
            <w:r>
              <w:rPr>
                <w:b w:val="0"/>
                <w:i w:val="0"/>
              </w:rPr>
              <w:t xml:space="preserve"> (4) </w:t>
            </w:r>
            <w:r>
              <w:rPr>
                <w:b w:val="0"/>
                <w:i w:val="0"/>
                <w:shd w:val="clear" w:fill="FFFF00"/>
              </w:rPr>
              <w:t>Decisions rest on fact rather than opinion.</w:t>
            </w:r>
          </w:p>
        </w:tc>
      </w:tr>
      <w:tr>
        <w:tc>
          <w:tcPr>
            <w:tcW w:type="dxa" w:w="4320"/>
          </w:tcPr>
          <w:p>
            <w:r/>
            <w:r>
              <w:rPr>
                <w:b/>
                <w:i w:val="0"/>
              </w:rPr>
              <w:t>Meeting Guidelines</w:t>
            </w:r>
          </w:p>
        </w:tc>
        <w:tc>
          <w:tcPr>
            <w:tcW w:type="dxa" w:w="4320"/>
          </w:tcPr>
          <w:p>
            <w:r/>
            <w:r>
              <w:rPr>
                <w:b w:val="0"/>
                <w:i w:val="0"/>
              </w:rPr>
              <w:t xml:space="preserve">(1) The Academic Manager and the Accountant attend workshops, demos, and UAT in a fixed weekly slot agreed with the sponsor at kickoff, at least 4 hours a week each; a missed slot is escalated to the sponsor within 2 working days. (2) Each build iteration closes with a demo, accepted in a signed demo acceptance record. (3) </w:t>
            </w:r>
            <w:r>
              <w:rPr>
                <w:b w:val="0"/>
                <w:i w:val="0"/>
                <w:shd w:val="clear" w:fill="FFFF00"/>
              </w:rPr>
              <w:t>Decision makers are present, a meeting starts on time, and it keeps to its agenda.</w:t>
            </w:r>
          </w:p>
        </w:tc>
      </w:tr>
      <w:tr>
        <w:tc>
          <w:tcPr>
            <w:tcW w:type="dxa" w:w="4320"/>
          </w:tcPr>
          <w:p>
            <w:r/>
            <w:r>
              <w:rPr>
                <w:b/>
                <w:i w:val="0"/>
              </w:rPr>
              <w:t>Communication Guidelines</w:t>
            </w:r>
          </w:p>
        </w:tc>
        <w:tc>
          <w:tcPr>
            <w:tcW w:type="dxa" w:w="4320"/>
          </w:tcPr>
          <w:p>
            <w:r/>
            <w:r>
              <w:rPr>
                <w:b w:val="0"/>
                <w:i w:val="0"/>
              </w:rPr>
              <w:t xml:space="preserve">(1) The project manager is the single point of contact for the sponsor and the center's staff. (2) The project manager reports status weekly. (3) </w:t>
            </w:r>
            <w:r>
              <w:rPr>
                <w:b w:val="0"/>
                <w:i w:val="0"/>
                <w:shd w:val="clear" w:fill="FFFF00"/>
              </w:rPr>
              <w:t>Everyone voices an opinion, no one dominates or interrupts, and no one uses inflammatory language.</w:t>
            </w:r>
          </w:p>
        </w:tc>
      </w:tr>
      <w:tr>
        <w:tc>
          <w:tcPr>
            <w:tcW w:type="dxa" w:w="4320"/>
          </w:tcPr>
          <w:p>
            <w:r/>
            <w:r>
              <w:rPr>
                <w:b/>
                <w:i w:val="0"/>
              </w:rPr>
              <w:t>Decision-Making Process</w:t>
            </w:r>
          </w:p>
        </w:tc>
        <w:tc>
          <w:tcPr>
            <w:tcW w:type="dxa" w:w="4320"/>
          </w:tcPr>
          <w:p>
            <w:r/>
            <w:r>
              <w:rPr>
                <w:b w:val="0"/>
                <w:i w:val="0"/>
              </w:rPr>
              <w:t xml:space="preserve">The project manager decides architecture, technology stack, database design, coding standards, tooling, the internal delivery approach, and the content of each iteration within the approved scope; assigns and re-assigns work within the approved team, approves leave, and manages day-to-day performance; and commits and spends within the approved baseline, including single transactions up to </w:t>
            </w:r>
            <w:r>
              <w:rPr>
                <w:b w:val="0"/>
                <w:i w:val="0"/>
                <w:shd w:val="clear" w:fill="FFFF00"/>
              </w:rPr>
              <w:t>20,000,000 VND</w:t>
            </w:r>
            <w:r>
              <w:rPr>
                <w:b w:val="0"/>
                <w:i w:val="0"/>
              </w:rPr>
              <w:t xml:space="preserve"> and the contingency reserve against risks R1 to R12. A decision that changes user-visible scope, the schedule, or the cost goes to the sponsor through the change process, form 3.3, as does any forecast overrun beyond 5%, any reserve use beyond </w:t>
            </w:r>
            <w:r>
              <w:rPr>
                <w:b w:val="0"/>
                <w:i w:val="0"/>
                <w:shd w:val="clear" w:fill="FFFF00"/>
              </w:rPr>
              <w:t>20,000,000 VND</w:t>
            </w:r>
            <w:r>
              <w:rPr>
                <w:b w:val="0"/>
                <w:i w:val="0"/>
              </w:rPr>
              <w:t>, and any change in total funding. A baselined decision on scope, schedule, or cost is reopened only by a change request. Voting procedure: [TBD]. When any other decision may be revisited: [TBD].</w:t>
            </w:r>
          </w:p>
        </w:tc>
      </w:tr>
    </w:tbl>
    <w:p/>
    <w:p>
      <w:r>
        <w:br w:type="page"/>
      </w:r>
    </w:p>
    <w:tbl>
      <w:tblPr>
        <w:tblW w:type="auto" w:w="0"/>
        <w:jc w:val="center"/>
        <w:tblLook w:firstColumn="1" w:firstRow="1" w:lastColumn="0" w:lastRow="0" w:noHBand="0" w:noVBand="1" w:val="04A0"/>
      </w:tblPr>
      <w:tblGrid>
        <w:gridCol w:w="8640"/>
      </w:tblGrid>
      <w:tr>
        <w:tc>
          <w:tcPr>
            <w:tcW w:type="dxa" w:w="8640"/>
            <w:shd w:val="clear" w:fill="3F3F3F"/>
          </w:tcPr>
          <w:p>
            <w:pPr>
              <w:jc w:val="center"/>
            </w:pPr>
            <w:r>
              <w:rPr>
                <w:b/>
                <w:color w:val="FFFFFF"/>
                <w:sz w:val="32"/>
              </w:rPr>
              <w:t>TEAM CHARTER</w:t>
            </w:r>
          </w:p>
        </w:tc>
      </w:tr>
    </w:tbl>
    <w:tbl>
      <w:tblPr>
        <w:tblStyle w:val="TableGrid"/>
        <w:tblW w:type="auto" w:w="0"/>
        <w:tblLook w:firstColumn="1" w:firstRow="1" w:lastColumn="0" w:lastRow="0" w:noHBand="0" w:noVBand="1" w:val="04A0"/>
      </w:tblPr>
      <w:tblGrid>
        <w:gridCol w:w="4320"/>
        <w:gridCol w:w="4320"/>
      </w:tblGrid>
      <w:tr>
        <w:tc>
          <w:tcPr>
            <w:tcW w:type="dxa" w:w="4320"/>
            <w:shd w:val="clear" w:fill="E8E8E8"/>
          </w:tcPr>
          <w:p>
            <w:r/>
            <w:r>
              <w:t>Field</w:t>
            </w:r>
          </w:p>
        </w:tc>
        <w:tc>
          <w:tcPr>
            <w:tcW w:type="dxa" w:w="4320"/>
            <w:shd w:val="clear" w:fill="E8E8E8"/>
          </w:tcPr>
          <w:p>
            <w:r/>
            <w:r>
              <w:t>Content</w:t>
            </w:r>
          </w:p>
        </w:tc>
      </w:tr>
      <w:tr>
        <w:tc>
          <w:tcPr>
            <w:tcW w:type="dxa" w:w="4320"/>
          </w:tcPr>
          <w:p>
            <w:r/>
            <w:r>
              <w:rPr>
                <w:b/>
                <w:i w:val="0"/>
              </w:rPr>
              <w:t>Conflict Resolution Process</w:t>
            </w:r>
          </w:p>
        </w:tc>
        <w:tc>
          <w:tcPr>
            <w:tcW w:type="dxa" w:w="4320"/>
          </w:tcPr>
          <w:p>
            <w:r/>
            <w:r>
              <w:rPr>
                <w:b w:val="0"/>
                <w:i w:val="0"/>
              </w:rPr>
              <w:t xml:space="preserve">The project manager resolves conflicts within the team and between the team and the center's operational staff, including competing claims on staff availability. A conflict that crosses organisations, alters agreed scope, or remains unresolved after </w:t>
            </w:r>
            <w:r>
              <w:rPr>
                <w:b w:val="0"/>
                <w:i w:val="0"/>
                <w:shd w:val="clear" w:fill="FFFF00"/>
              </w:rPr>
              <w:t>five working days</w:t>
            </w:r>
            <w:r>
              <w:rPr>
                <w:b w:val="0"/>
                <w:i w:val="0"/>
              </w:rPr>
              <w:t xml:space="preserve"> goes to the sponsor, whose decision is final. Disputes with external suppliers follow the applicable service agreement. </w:t>
            </w:r>
            <w:r>
              <w:rPr>
                <w:b w:val="0"/>
                <w:i w:val="0"/>
                <w:shd w:val="clear" w:fill="FFFF00"/>
              </w:rPr>
              <w:t>Team members first try to settle a conflict between themselves, early and in private; the project manager facilitates when they cannot.</w:t>
            </w:r>
            <w:r>
              <w:rPr>
                <w:b w:val="0"/>
                <w:i w:val="0"/>
              </w:rPr>
              <w:t xml:space="preserve"> When a conflict is tabled for later discussion: [TBD].</w:t>
            </w:r>
          </w:p>
        </w:tc>
      </w:tr>
      <w:tr>
        <w:tc>
          <w:tcPr>
            <w:tcW w:type="dxa" w:w="4320"/>
          </w:tcPr>
          <w:p>
            <w:r/>
            <w:r>
              <w:rPr>
                <w:b/>
                <w:i w:val="0"/>
              </w:rPr>
              <w:t>Other Agreements</w:t>
            </w:r>
          </w:p>
        </w:tc>
        <w:tc>
          <w:tcPr>
            <w:tcW w:type="dxa" w:w="4320"/>
          </w:tcPr>
          <w:p>
            <w:r/>
            <w:r>
              <w:rPr>
                <w:b w:val="0"/>
                <w:i w:val="0"/>
              </w:rPr>
              <w:t xml:space="preserve">(1) The two developers assigned to scheduling and billing pair on those modules, and code and documentation are kept in shared repositories (risk R4). (2) The QA engineer reads the requirement baseline as a second reader (risk R9). (3) The part-time mobile developer joins after M2 and leaves after M5, and </w:t>
            </w:r>
            <w:r>
              <w:rPr>
                <w:b w:val="0"/>
                <w:i w:val="0"/>
                <w:shd w:val="clear" w:fill="FFFF00"/>
              </w:rPr>
              <w:t>reads this charter and signs it on joining</w:t>
            </w:r>
            <w:r>
              <w:rPr>
                <w:b w:val="0"/>
                <w:i w:val="0"/>
              </w:rPr>
              <w:t xml:space="preserve">. (4) </w:t>
            </w:r>
            <w:r>
              <w:rPr>
                <w:b w:val="0"/>
                <w:i w:val="0"/>
                <w:shd w:val="clear" w:fill="FFFF00"/>
              </w:rPr>
              <w:t>This charter is revisited and reaffirmed when the team changes substantially.</w:t>
            </w:r>
          </w:p>
        </w:tc>
      </w:tr>
    </w:tbl>
    <w:p/>
    <w:tbl>
      <w:tblPr>
        <w:tblStyle w:val="TableGrid"/>
        <w:tblW w:type="auto" w:w="0"/>
        <w:tblLook w:firstColumn="1" w:firstRow="1" w:lastColumn="0" w:lastRow="0" w:noHBand="0" w:noVBand="1" w:val="04A0"/>
      </w:tblPr>
      <w:tblGrid>
        <w:gridCol w:w="4320"/>
        <w:gridCol w:w="4320"/>
      </w:tblGrid>
      <w:tr>
        <w:tc>
          <w:tcPr>
            <w:tcW w:type="dxa" w:w="4320"/>
            <w:shd w:val="clear" w:fill="E8E8E8"/>
          </w:tcPr>
          <w:p>
            <w:r/>
            <w:r>
              <w:t>Signature</w:t>
            </w:r>
          </w:p>
        </w:tc>
        <w:tc>
          <w:tcPr>
            <w:tcW w:type="dxa" w:w="4320"/>
            <w:shd w:val="clear" w:fill="E8E8E8"/>
          </w:tcPr>
          <w:p>
            <w:r/>
            <w:r>
              <w:t>Date</w:t>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r>
        <w:tc>
          <w:tcPr>
            <w:tcW w:type="dxa" w:w="4320"/>
          </w:tcPr>
          <w:p>
            <w:r/>
            <w:r/>
          </w:p>
        </w:tc>
        <w:tc>
          <w:tcPr>
            <w:tcW w:type="dxa" w:w="4320"/>
          </w:tcPr>
          <w:p>
            <w:r/>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end"/>
    </w:r>
    <w:r>
      <w:t xml:space="preserve"> of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