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3864"/>
          <w:sz w:val="26"/>
          <w:szCs w:val="26"/>
        </w:rPr>
        <w:t xml:space="preserve">DEMULLA INVESTMENTS</w:t>
      </w:r>
    </w:p>
    <w:p>
      <w:pPr>
        <w:spacing w:after="400"/>
        <w:jc w:val="center"/>
      </w:pPr>
      <w:r>
        <w:rPr>
          <w:color w:val="44546A"/>
          <w:sz w:val="22"/>
          <w:szCs w:val="22"/>
        </w:rPr>
        <w:t xml:space="preserve">Internal Audit Function</w:t>
      </w:r>
    </w:p>
    <w:p>
      <w:pPr>
        <w:spacing w:after="200" w:before="200"/>
        <w:jc w:val="center"/>
      </w:pPr>
      <w:r>
        <w:rPr>
          <w:b/>
          <w:bCs/>
          <w:color w:val="1F3864"/>
          <w:sz w:val="44"/>
          <w:szCs w:val="44"/>
        </w:rPr>
        <w:t xml:space="preserve">CYBERSECURITY AUDIT PLAN</w:t>
      </w:r>
    </w:p>
    <w:p>
      <w:pPr>
        <w:spacing w:after="600"/>
        <w:jc w:val="center"/>
      </w:pPr>
      <w:r>
        <w:rPr>
          <w:b/>
          <w:bCs/>
          <w:color w:val="2E5395"/>
          <w:sz w:val="30"/>
          <w:szCs w:val="30"/>
        </w:rPr>
        <w:t xml:space="preserve">Loan Management System (LMS)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Field</w:t>
            </w:r>
          </w:p>
        </w:tc>
        <w:tc>
          <w:tcPr>
            <w:tcW w:type="dxa" w:w="63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Detail</w:t>
            </w:r>
          </w:p>
        </w:tc>
      </w:tr>
      <w:tr>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Audit Reference</w:t>
            </w:r>
          </w:p>
        </w:tc>
        <w:tc>
          <w:tcPr>
            <w:tcW w:type="dxa" w:w="63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[CYB-AUD-LMS-2026-XX – assign per audit register]</w:t>
            </w:r>
          </w:p>
        </w:tc>
      </w:tr>
      <w:tr>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Audit Title</w:t>
            </w:r>
          </w:p>
        </w:tc>
        <w:tc>
          <w:tcPr>
            <w:tcW w:type="dxa" w:w="63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Cybersecurity Audit of the Loan Management System (LMS)</w:t>
            </w:r>
          </w:p>
        </w:tc>
      </w:tr>
      <w:tr>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Audit Type (per SOP 2.0)</w:t>
            </w:r>
          </w:p>
        </w:tc>
        <w:tc>
          <w:tcPr>
            <w:tcW w:type="dxa" w:w="63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System Audit – Cybersecurity Domain (incl. business logic security and correctness re-performance)</w:t>
            </w:r>
          </w:p>
        </w:tc>
      </w:tr>
      <w:tr>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Lead Auditor</w:t>
            </w:r>
          </w:p>
        </w:tc>
        <w:tc>
          <w:tcPr>
            <w:tcW w:type="dxa" w:w="63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Samwel – Cybersecurity Auditor</w:t>
            </w:r>
          </w:p>
        </w:tc>
      </w:tr>
      <w:tr>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Reporting Line</w:t>
            </w:r>
          </w:p>
        </w:tc>
        <w:tc>
          <w:tcPr>
            <w:tcW w:type="dxa" w:w="63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Risk &amp; Compliance → Executive → Board</w:t>
            </w:r>
          </w:p>
        </w:tc>
      </w:tr>
      <w:tr>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Primary Auditee Contact</w:t>
            </w:r>
          </w:p>
        </w:tc>
        <w:tc>
          <w:tcPr>
            <w:tcW w:type="dxa" w:w="63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Clifford Isaboke, Head of IT Operations</w:t>
            </w:r>
          </w:p>
        </w:tc>
      </w:tr>
      <w:tr>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Copied Stakeholders</w:t>
            </w:r>
          </w:p>
        </w:tc>
        <w:tc>
          <w:tcPr>
            <w:tcW w:type="dxa" w:w="63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Annita Juma, Head of Risk Management; Thadeus Odenyo, Head of Software Development (environment/config access and defect referral only); nominated Finance/Credit Policy SME</w:t>
            </w:r>
          </w:p>
        </w:tc>
      </w:tr>
      <w:tr>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Document Status</w:t>
            </w:r>
          </w:p>
        </w:tc>
        <w:tc>
          <w:tcPr>
            <w:tcW w:type="dxa" w:w="63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Draft – Pending HoD Notification (SOP Step 1)</w:t>
            </w:r>
          </w:p>
        </w:tc>
      </w:tr>
      <w:tr>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Version</w:t>
            </w:r>
          </w:p>
        </w:tc>
        <w:tc>
          <w:tcPr>
            <w:tcW w:type="dxa" w:w="63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2.0</w:t>
            </w:r>
          </w:p>
        </w:tc>
      </w:tr>
      <w:tr>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Date Prepared</w:t>
            </w:r>
          </w:p>
        </w:tc>
        <w:tc>
          <w:tcPr>
            <w:tcW w:type="dxa" w:w="63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[Insert Date]</w:t>
            </w:r>
          </w:p>
        </w:tc>
      </w:tr>
      <w:tr>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Classification</w:t>
            </w:r>
          </w:p>
        </w:tc>
        <w:tc>
          <w:tcPr>
            <w:tcW w:type="dxa" w:w="63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Confidential – Internal Use Only</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1.0 Purpose</w:t>
      </w:r>
    </w:p>
    <w:p>
      <w:pPr>
        <w:spacing w:after="160"/>
      </w:pPr>
      <w:r>
        <w:t xml:space="preserve">This Audit Plan defines the scope, objectives, methodology, and governance arrangements for a cybersecurity audit of the Loan Management System (LMS) at Demulla Investments. It is prepared in line with Section 4.1 (Step 1: Audit Planning) of the Demulla Internal Audit SOP, and serves as the formal Audit Plan output required before the Audit Notification &amp; Entry Meeting (SOP Step 2).</w:t>
      </w:r>
    </w:p>
    <w:p>
      <w:pPr>
        <w:spacing w:after="160"/>
      </w:pPr>
      <w:r>
        <w:t xml:space="preserve">This audit is conducted from a cybersecurity assurance perspective, and now explicitly includes business logic within its scope, covering both (a) security-relevant business logic flaws – workflow and authorization abuse – and (b) business logic correctness – verification that system calculations and policy application match approved business rules. It does not extend to source code review, static/dynamic code analysis, or general commercial soundness of business policy, which remain outside the competency and mandate of a cybersecurity auditor.</w:t>
      </w:r>
    </w:p>
    <w:p>
      <w:pPr>
        <w:pStyle w:val="Heading1"/>
      </w:pPr>
      <w:r>
        <w:t xml:space="preserve">2.0 Audit Scope</w:t>
      </w:r>
    </w:p>
    <w:p>
      <w:pPr>
        <w:pStyle w:val="Heading2"/>
      </w:pPr>
      <w:r>
        <w:t xml:space="preserve">2.1 In-Scope Domains</w:t>
      </w:r>
    </w:p>
    <w:p>
      <w:pPr>
        <w:spacing w:after="160"/>
      </w:pPr>
      <w:r>
        <w:t xml:space="preserve">The following cybersecurity domains are within scope for this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6160"/>
      </w:tblGrid>
      <w:tr>
        <w:trPr>
          <w:tblHeader/>
        </w:trPr>
        <w:tc>
          <w:tcPr>
            <w:tcW w:type="dxa" w:w="5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w:t>
            </w:r>
          </w:p>
        </w:tc>
        <w:tc>
          <w:tcPr>
            <w:tcW w:type="dxa" w:w="27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Domain</w:t>
            </w:r>
          </w:p>
        </w:tc>
        <w:tc>
          <w:tcPr>
            <w:tcW w:type="dxa" w:w="61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Description</w:t>
            </w:r>
          </w:p>
        </w:tc>
      </w:tr>
      <w:tr>
        <w:tc>
          <w:tcPr>
            <w:tcW w:type="dxa" w:w="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w:t>
            </w:r>
          </w:p>
        </w:tc>
        <w:tc>
          <w:tcPr>
            <w:tcW w:type="dxa" w:w="2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Identity &amp; Access Management (IAM)</w:t>
            </w:r>
          </w:p>
        </w:tc>
        <w:tc>
          <w:tcPr>
            <w:tcW w:type="dxa" w:w="61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User provisioning/de-provisioning, role-based access control, segregation of duties, privileged account management, periodic access reviews.</w:t>
            </w:r>
          </w:p>
        </w:tc>
      </w:tr>
      <w:tr>
        <w:tc>
          <w:tcPr>
            <w:tcW w:type="dxa" w:w="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2</w:t>
            </w:r>
          </w:p>
        </w:tc>
        <w:tc>
          <w:tcPr>
            <w:tcW w:type="dxa" w:w="2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Authentication &amp; Session Security</w:t>
            </w:r>
          </w:p>
        </w:tc>
        <w:tc>
          <w:tcPr>
            <w:tcW w:type="dxa" w:w="61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Password policy, multi-factor authentication (MFA), session timeout/lockout, account lockout thresholds.</w:t>
            </w:r>
          </w:p>
        </w:tc>
      </w:tr>
      <w:tr>
        <w:tc>
          <w:tcPr>
            <w:tcW w:type="dxa" w:w="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3</w:t>
            </w:r>
          </w:p>
        </w:tc>
        <w:tc>
          <w:tcPr>
            <w:tcW w:type="dxa" w:w="2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Network Security</w:t>
            </w:r>
          </w:p>
        </w:tc>
        <w:tc>
          <w:tcPr>
            <w:tcW w:type="dxa" w:w="61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Firewall rules, network segmentation between LMS and other systems, VPN/remote access controls, exposure of LMS ports/services.</w:t>
            </w:r>
          </w:p>
        </w:tc>
      </w:tr>
      <w:tr>
        <w:tc>
          <w:tcPr>
            <w:tcW w:type="dxa" w:w="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4</w:t>
            </w:r>
          </w:p>
        </w:tc>
        <w:tc>
          <w:tcPr>
            <w:tcW w:type="dxa" w:w="2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Data Protection &amp; Encryption</w:t>
            </w:r>
          </w:p>
        </w:tc>
        <w:tc>
          <w:tcPr>
            <w:tcW w:type="dxa" w:w="61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Encryption of data at rest and in transit, key management, masking/redaction of sensitive borrower data (PII, financial data).</w:t>
            </w:r>
          </w:p>
        </w:tc>
      </w:tr>
      <w:tr>
        <w:tc>
          <w:tcPr>
            <w:tcW w:type="dxa" w:w="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5</w:t>
            </w:r>
          </w:p>
        </w:tc>
        <w:tc>
          <w:tcPr>
            <w:tcW w:type="dxa" w:w="2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Logging, Monitoring &amp; Audit Trails</w:t>
            </w:r>
          </w:p>
        </w:tc>
        <w:tc>
          <w:tcPr>
            <w:tcW w:type="dxa" w:w="61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Availability and integrity of system/security logs, log retention, monitoring/alerting capability, tamper-evidence of logs.</w:t>
            </w:r>
          </w:p>
        </w:tc>
      </w:tr>
      <w:tr>
        <w:tc>
          <w:tcPr>
            <w:tcW w:type="dxa" w:w="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6</w:t>
            </w:r>
          </w:p>
        </w:tc>
        <w:tc>
          <w:tcPr>
            <w:tcW w:type="dxa" w:w="2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Vulnerability &amp; Patch Management</w:t>
            </w:r>
          </w:p>
        </w:tc>
        <w:tc>
          <w:tcPr>
            <w:tcW w:type="dxa" w:w="61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Patch cadence for OS/DB/middleware supporting LMS, vulnerability scanning history, remediation tracking.</w:t>
            </w:r>
          </w:p>
        </w:tc>
      </w:tr>
      <w:tr>
        <w:tc>
          <w:tcPr>
            <w:tcW w:type="dxa" w:w="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7</w:t>
            </w:r>
          </w:p>
        </w:tc>
        <w:tc>
          <w:tcPr>
            <w:tcW w:type="dxa" w:w="2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Backup, Recovery &amp; Business Continuity</w:t>
            </w:r>
          </w:p>
        </w:tc>
        <w:tc>
          <w:tcPr>
            <w:tcW w:type="dxa" w:w="61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Backup frequency/encryption/storage, restore testing evidence, disaster recovery and business continuity arrangements for LMS.</w:t>
            </w:r>
          </w:p>
        </w:tc>
      </w:tr>
      <w:tr>
        <w:tc>
          <w:tcPr>
            <w:tcW w:type="dxa" w:w="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8</w:t>
            </w:r>
          </w:p>
        </w:tc>
        <w:tc>
          <w:tcPr>
            <w:tcW w:type="dxa" w:w="2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Cloud &amp; Third-Party / Vendor Security</w:t>
            </w:r>
          </w:p>
        </w:tc>
        <w:tc>
          <w:tcPr>
            <w:tcW w:type="dxa" w:w="61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Security configuration of cloud-hosted components (e.g., AWS S3 buckets used by LMS), vendor SLAs, third-party access controls, sub-processor due diligence.</w:t>
            </w:r>
          </w:p>
        </w:tc>
      </w:tr>
      <w:tr>
        <w:tc>
          <w:tcPr>
            <w:tcW w:type="dxa" w:w="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9</w:t>
            </w:r>
          </w:p>
        </w:tc>
        <w:tc>
          <w:tcPr>
            <w:tcW w:type="dxa" w:w="2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Change Management (Security Lens Only)</w:t>
            </w:r>
          </w:p>
        </w:tc>
        <w:tc>
          <w:tcPr>
            <w:tcW w:type="dxa" w:w="61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Whether security review/approval is part of the change process for LMS releases; segregation between development and production access — reviewed for control existence, not code content.</w:t>
            </w:r>
          </w:p>
        </w:tc>
      </w:tr>
      <w:tr>
        <w:tc>
          <w:tcPr>
            <w:tcW w:type="dxa" w:w="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10</w:t>
            </w:r>
          </w:p>
        </w:tc>
        <w:tc>
          <w:tcPr>
            <w:tcW w:type="dxa" w:w="2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Security Incident Response Readiness</w:t>
            </w:r>
          </w:p>
        </w:tc>
        <w:tc>
          <w:tcPr>
            <w:tcW w:type="dxa" w:w="61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Existence and testing of an incident response plan covering LMS, breach notification procedures, escalation paths.</w:t>
            </w:r>
          </w:p>
        </w:tc>
      </w:tr>
      <w:tr>
        <w:tc>
          <w:tcPr>
            <w:tcW w:type="dxa" w:w="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11</w:t>
            </w:r>
          </w:p>
        </w:tc>
        <w:tc>
          <w:tcPr>
            <w:tcW w:type="dxa" w:w="2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API &amp; Integration Security</w:t>
            </w:r>
          </w:p>
        </w:tc>
        <w:tc>
          <w:tcPr>
            <w:tcW w:type="dxa" w:w="61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Authentication/authorization on LMS APIs or integrations with other systems, exposure of endpoints, rate limiting.</w:t>
            </w:r>
          </w:p>
        </w:tc>
      </w:tr>
      <w:tr>
        <w:tc>
          <w:tcPr>
            <w:tcW w:type="dxa" w:w="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12</w:t>
            </w:r>
          </w:p>
        </w:tc>
        <w:tc>
          <w:tcPr>
            <w:tcW w:type="dxa" w:w="2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Physical &amp; Environmental Security</w:t>
            </w:r>
          </w:p>
        </w:tc>
        <w:tc>
          <w:tcPr>
            <w:tcW w:type="dxa" w:w="61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Physical/environmental controls at hosting location (data center or cloud provider attestations) supporting LMS infrastructure.</w:t>
            </w:r>
          </w:p>
        </w:tc>
      </w:tr>
      <w:tr>
        <w:tc>
          <w:tcPr>
            <w:tcW w:type="dxa" w:w="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13</w:t>
            </w:r>
          </w:p>
        </w:tc>
        <w:tc>
          <w:tcPr>
            <w:tcW w:type="dxa" w:w="2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Business Logic Security Testing</w:t>
            </w:r>
          </w:p>
        </w:tc>
        <w:tc>
          <w:tcPr>
            <w:tcW w:type="dxa" w:w="61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Whether application workflow controls (approval sequencing, application-layer SoD, parameter validation) can be bypassed for unauthorized outcomes – e.g., self-approval, duplicate disbursement, amount tampering, IDOR.</w:t>
            </w:r>
          </w:p>
        </w:tc>
      </w:tr>
      <w:tr>
        <w:tc>
          <w:tcPr>
            <w:tcW w:type="dxa" w:w="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14</w:t>
            </w:r>
          </w:p>
        </w:tc>
        <w:tc>
          <w:tcPr>
            <w:tcW w:type="dxa" w:w="2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Business Logic / Policy Correctness Review</w:t>
            </w:r>
          </w:p>
        </w:tc>
        <w:tc>
          <w:tcPr>
            <w:tcW w:type="dxa" w:w="61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Sample-based re-performance of loan calculations, fees, and underwriting rule application against approved policy, conducted jointly with a nominated Risk/Finance SME.</w:t>
            </w:r>
          </w:p>
        </w:tc>
      </w:tr>
    </w:tbl>
    <w:p>
      <w:pPr>
        <w:pStyle w:val="Heading2"/>
      </w:pPr>
      <w:r>
        <w:t xml:space="preserve">2.2 Explicitly Out of Scope</w:t>
      </w:r>
    </w:p>
    <w:p>
      <w:pPr>
        <w:pBdr>
          <w:left w:val="single" w:color="1F3864" w:sz="18" w:space="8"/>
        </w:pBdr>
        <w:spacing w:after="200" w:before="80"/>
      </w:pPr>
      <w:r>
        <w:rPr>
          <w:i/>
          <w:iCs/>
          <w:color w:val="44546A"/>
        </w:rPr>
        <w:t xml:space="preserve">Stated up front to set correct expectations with the auditee and avoid scope creep into areas outside cybersecurity audit competency, even with business logic now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Excluded Item</w:t>
            </w:r>
          </w:p>
        </w:tc>
        <w:tc>
          <w:tcPr>
            <w:tcW w:type="dxa" w:w="51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Reason</w:t>
            </w:r>
          </w:p>
        </w:tc>
      </w:tr>
      <w:tr>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Source code review / static or dynamic code analysis (SAST/DAST)</w:t>
            </w:r>
          </w:p>
        </w:tc>
        <w:tc>
          <w:tcPr>
            <w:tcW w:type="dxa" w:w="51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Business logic items (13 and 14) are tested via black-box/grey-box workflow testing and re-performance, not by inspecting application source code. Deep code-level root cause analysis of any defect found is referred to the development team / a code auditor.</w:t>
            </w:r>
          </w:p>
        </w:tc>
      </w:tr>
      <w:tr>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Commercial soundness of loan/interest rate policy</w:t>
            </w:r>
          </w:p>
        </w:tc>
        <w:tc>
          <w:tcPr>
            <w:tcW w:type="dxa" w:w="51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Whether underwriting criteria or interest rates are good business decisions is a Risk/Finance/Board policy matter, not an audit of computational accuracy against that policy.</w:t>
            </w:r>
          </w:p>
        </w:tc>
      </w:tr>
      <w:tr>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Performance and load testing</w:t>
            </w:r>
          </w:p>
        </w:tc>
        <w:tc>
          <w:tcPr>
            <w:tcW w:type="dxa" w:w="51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Not a security control objective; referenced only where it affects availability or security.</w:t>
            </w:r>
          </w:p>
        </w:tc>
      </w:tr>
      <w:tr>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UI/UX design review</w:t>
            </w:r>
          </w:p>
        </w:tc>
        <w:tc>
          <w:tcPr>
            <w:tcW w:type="dxa" w:w="51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No security or business-logic-correctness relevance.</w:t>
            </w:r>
          </w:p>
        </w:tc>
      </w:tr>
    </w:tbl>
    <w:p>
      <w:pPr>
        <w:pStyle w:val="Heading2"/>
      </w:pPr>
      <w:r>
        <w:t xml:space="preserve">2.3 Systems &amp; Environment Covered</w:t>
      </w:r>
    </w:p>
    <w:p>
      <w:pPr>
        <w:pStyle w:val="ListParagraph"/>
        <w:numPr>
          <w:ilvl w:val="0"/>
          <w:numId w:val="2"/>
        </w:numPr>
        <w:spacing w:after="60"/>
      </w:pPr>
      <w:r>
        <w:t xml:space="preserve">Production LMS application (web/agent-facing components, where applicable)</w:t>
      </w:r>
    </w:p>
    <w:p>
      <w:pPr>
        <w:pStyle w:val="ListParagraph"/>
        <w:numPr>
          <w:ilvl w:val="0"/>
          <w:numId w:val="2"/>
        </w:numPr>
        <w:spacing w:after="60"/>
      </w:pPr>
      <w:r>
        <w:t xml:space="preserve">Underlying database server(s) and middleware supporting the LMS</w:t>
      </w:r>
    </w:p>
    <w:p>
      <w:pPr>
        <w:pStyle w:val="ListParagraph"/>
        <w:numPr>
          <w:ilvl w:val="0"/>
          <w:numId w:val="2"/>
        </w:numPr>
        <w:spacing w:after="60"/>
      </w:pPr>
      <w:r>
        <w:t xml:space="preserve">Network infrastructure connecting users/branches to the LMS</w:t>
      </w:r>
    </w:p>
    <w:p>
      <w:pPr>
        <w:pStyle w:val="ListParagraph"/>
        <w:numPr>
          <w:ilvl w:val="0"/>
          <w:numId w:val="2"/>
        </w:numPr>
        <w:spacing w:after="60"/>
      </w:pPr>
      <w:r>
        <w:t xml:space="preserve">Cloud storage components used by the LMS (e.g., AWS S3 buckets for documents/evidence)</w:t>
      </w:r>
    </w:p>
    <w:p>
      <w:pPr>
        <w:pStyle w:val="ListParagraph"/>
        <w:numPr>
          <w:ilvl w:val="0"/>
          <w:numId w:val="2"/>
        </w:numPr>
        <w:spacing w:after="60"/>
      </w:pPr>
      <w:r>
        <w:t xml:space="preserve">Backup and disaster recovery systems holding LMS data</w:t>
      </w:r>
    </w:p>
    <w:p>
      <w:pPr>
        <w:pStyle w:val="ListParagraph"/>
        <w:numPr>
          <w:ilvl w:val="0"/>
          <w:numId w:val="2"/>
        </w:numPr>
        <w:spacing w:after="60"/>
      </w:pPr>
      <w:r>
        <w:t xml:space="preserve">Administrative/privileged access points (admin panels, DB consoles, server access)</w:t>
      </w:r>
    </w:p>
    <w:p>
      <w:pPr>
        <w:pStyle w:val="ListParagraph"/>
        <w:numPr>
          <w:ilvl w:val="0"/>
          <w:numId w:val="2"/>
        </w:numPr>
        <w:spacing w:after="60"/>
      </w:pPr>
      <w:r>
        <w:t xml:space="preserve">Loan workflow/approval engine and associated business rule configuration (interest, fees, underwriting parameters)</w:t>
      </w:r>
    </w:p>
    <w:p>
      <w:pPr>
        <w:pStyle w:val="Heading1"/>
      </w:pPr>
      <w:r>
        <w:t xml:space="preserve">3.0 Audit Objectives</w:t>
      </w:r>
    </w:p>
    <w:p>
      <w:pPr>
        <w:pStyle w:val="ListParagraph"/>
        <w:numPr>
          <w:ilvl w:val="0"/>
          <w:numId w:val="2"/>
        </w:numPr>
        <w:spacing w:after="60"/>
      </w:pPr>
      <w:r>
        <w:t xml:space="preserve">Assess whether access to the LMS is appropriately controlled, authenticated, and segregated.</w:t>
      </w:r>
    </w:p>
    <w:p>
      <w:pPr>
        <w:pStyle w:val="ListParagraph"/>
        <w:numPr>
          <w:ilvl w:val="0"/>
          <w:numId w:val="2"/>
        </w:numPr>
        <w:spacing w:after="60"/>
      </w:pPr>
      <w:r>
        <w:t xml:space="preserve">Evaluate whether sensitive borrower and financial data is adequately protected at rest and in transit.</w:t>
      </w:r>
    </w:p>
    <w:p>
      <w:pPr>
        <w:pStyle w:val="ListParagraph"/>
        <w:numPr>
          <w:ilvl w:val="0"/>
          <w:numId w:val="2"/>
        </w:numPr>
        <w:spacing w:after="60"/>
      </w:pPr>
      <w:r>
        <w:t xml:space="preserve">Determine whether security logging and monitoring provide sufficient visibility and traceability.</w:t>
      </w:r>
    </w:p>
    <w:p>
      <w:pPr>
        <w:pStyle w:val="ListParagraph"/>
        <w:numPr>
          <w:ilvl w:val="0"/>
          <w:numId w:val="2"/>
        </w:numPr>
        <w:spacing w:after="60"/>
      </w:pPr>
      <w:r>
        <w:t xml:space="preserve">Assess the organization's ability to detect, patch, and remediate known vulnerabilities affecting the LMS.</w:t>
      </w:r>
    </w:p>
    <w:p>
      <w:pPr>
        <w:pStyle w:val="ListParagraph"/>
        <w:numPr>
          <w:ilvl w:val="0"/>
          <w:numId w:val="2"/>
        </w:numPr>
        <w:spacing w:after="60"/>
      </w:pPr>
      <w:r>
        <w:t xml:space="preserve">Evaluate backup, recovery, and continuity arrangements supporting LMS availability and resilience.</w:t>
      </w:r>
    </w:p>
    <w:p>
      <w:pPr>
        <w:pStyle w:val="ListParagraph"/>
        <w:numPr>
          <w:ilvl w:val="0"/>
          <w:numId w:val="2"/>
        </w:numPr>
        <w:spacing w:after="60"/>
      </w:pPr>
      <w:r>
        <w:t xml:space="preserve">Assess security governance over cloud and third-party components supporting the LMS.</w:t>
      </w:r>
    </w:p>
    <w:p>
      <w:pPr>
        <w:pStyle w:val="ListParagraph"/>
        <w:numPr>
          <w:ilvl w:val="0"/>
          <w:numId w:val="2"/>
        </w:numPr>
        <w:spacing w:after="60"/>
      </w:pPr>
      <w:r>
        <w:t xml:space="preserve">Confirm whether a tested incident response capability exists for LMS-related security events.</w:t>
      </w:r>
    </w:p>
    <w:p>
      <w:pPr>
        <w:pStyle w:val="ListParagraph"/>
        <w:numPr>
          <w:ilvl w:val="0"/>
          <w:numId w:val="2"/>
        </w:numPr>
        <w:spacing w:after="60"/>
      </w:pPr>
      <w:r>
        <w:t xml:space="preserve">Determine whether application-level workflow controls prevent unauthorized bypass of loan approval, disbursement, or amount-modification sequences (business logic security).</w:t>
      </w:r>
    </w:p>
    <w:p>
      <w:pPr>
        <w:pStyle w:val="ListParagraph"/>
        <w:numPr>
          <w:ilvl w:val="0"/>
          <w:numId w:val="2"/>
        </w:numPr>
        <w:spacing w:after="60"/>
      </w:pPr>
      <w:r>
        <w:t xml:space="preserve">Verify, on a sample basis and jointly with Risk &amp; Finance, that loan calculations and policy application within the LMS match approved business rules (business logic correctness).</w:t>
      </w:r>
    </w:p>
    <w:p>
      <w:pPr>
        <w:pStyle w:val="ListParagraph"/>
        <w:numPr>
          <w:ilvl w:val="0"/>
          <w:numId w:val="2"/>
        </w:numPr>
        <w:spacing w:after="60"/>
      </w:pPr>
      <w:r>
        <w:t xml:space="preserve">Provide management with evidence-based, risk-rated findings and practical corrective actions.</w:t>
      </w:r>
    </w:p>
    <w:p>
      <w:pPr>
        <w:pStyle w:val="Heading1"/>
      </w:pPr>
      <w:r>
        <w:t xml:space="preserve">4.0 Regulatory &amp; Policy Framework</w:t>
      </w:r>
    </w:p>
    <w:p>
      <w:pPr>
        <w:spacing w:after="160"/>
      </w:pPr>
      <w:r>
        <w:t xml:space="preserve">This audit will assess LMS cybersecurity and business logic controls against the following reference frameworks, in addition to the Demulla Internal Audit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Framework / Reference</w:t>
            </w:r>
          </w:p>
        </w:tc>
        <w:tc>
          <w:tcPr>
            <w:tcW w:type="dxa" w:w="51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Relevance</w:t>
            </w:r>
          </w:p>
        </w:tc>
      </w:tr>
      <w:tr>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Demulla Internal Audit SOP</w:t>
            </w:r>
          </w:p>
        </w:tc>
        <w:tc>
          <w:tcPr>
            <w:tcW w:type="dxa" w:w="51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Governs audit process, independence, correspondence protocol, reporting, and CAPA management.</w:t>
            </w:r>
          </w:p>
        </w:tc>
      </w:tr>
      <w:tr>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Kenya Data Protection Act, 2019</w:t>
            </w:r>
          </w:p>
        </w:tc>
        <w:tc>
          <w:tcPr>
            <w:tcW w:type="dxa" w:w="51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Governs processing of borrower personal data; relevant to encryption, access control, and breach notification requirements.</w:t>
            </w:r>
          </w:p>
        </w:tc>
      </w:tr>
      <w:tr>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Central Bank of Kenya (CBK) Prudential / Risk Management Guidelines on Cybersecurity (where applicable to Demulla's regulatory category)</w:t>
            </w:r>
          </w:p>
        </w:tc>
        <w:tc>
          <w:tcPr>
            <w:tcW w:type="dxa" w:w="51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Sets baseline expectations for cybersecurity governance in regulated financial entities; confirm applicability with Risk &amp; Compliance.</w:t>
            </w:r>
          </w:p>
        </w:tc>
      </w:tr>
      <w:tr>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Applicable interest rate cap / consumer credit regulation (e.g., CBK or relevant regulator)</w:t>
            </w:r>
          </w:p>
        </w:tc>
        <w:tc>
          <w:tcPr>
            <w:tcW w:type="dxa" w:w="51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Used as the compliance benchmark for the business logic correctness review (Domain 14).</w:t>
            </w:r>
          </w:p>
        </w:tc>
      </w:tr>
      <w:tr>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ISO/IEC 27001 control reference (where adopted internally)</w:t>
            </w:r>
          </w:p>
        </w:tc>
        <w:tc>
          <w:tcPr>
            <w:tcW w:type="dxa" w:w="51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Used as a structured control baseline for IAM, logging, vulnerability management, and incident response, even if not formally certified.</w:t>
            </w:r>
          </w:p>
        </w:tc>
      </w:tr>
      <w:tr>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Demulla Information Security Policy and approved Credit/Loan Policy (if available)</w:t>
            </w:r>
          </w:p>
        </w:tc>
        <w:tc>
          <w:tcPr>
            <w:tcW w:type="dxa" w:w="51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Internal baseline for password/encryption standards and the approved business rules used as the correctness benchmark in Domain 14.</w:t>
            </w:r>
          </w:p>
        </w:tc>
      </w:tr>
    </w:tbl>
    <w:p>
      <w:pPr>
        <w:pBdr>
          <w:left w:val="single" w:color="1F3864" w:sz="18" w:space="8"/>
        </w:pBdr>
        <w:spacing w:after="200" w:before="80"/>
      </w:pPr>
      <w:r>
        <w:rPr>
          <w:i/>
          <w:iCs/>
          <w:color w:val="44546A"/>
        </w:rPr>
        <w:t xml:space="preserve">Action before fieldwork: confirm with Annita Juma (Risk) which external regulatory regime formally applies to Demulla, and obtain the current approved Credit/Loan Policy document to use as the benchmark for the business logic correctness review.</w:t>
      </w:r>
    </w:p>
    <w:p>
      <w:pPr>
        <w:pStyle w:val="Heading1"/>
      </w:pPr>
      <w:r>
        <w:t xml:space="preserve">5.0 Risk 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Domain</w:t>
            </w:r>
          </w:p>
        </w:tc>
        <w:tc>
          <w:tcPr>
            <w:tcW w:type="dxa" w:w="35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Key Risk</w:t>
            </w:r>
          </w:p>
        </w:tc>
        <w:tc>
          <w:tcPr>
            <w:tcW w:type="dxa" w:w="40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Why It Matters</w:t>
            </w:r>
          </w:p>
        </w:tc>
      </w:tr>
      <w:tr>
        <w:tc>
          <w:tcPr>
            <w:tcW w:type="dxa" w:w="18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IAM</w:t>
            </w:r>
          </w:p>
        </w:tc>
        <w:tc>
          <w:tcPr>
            <w:tcW w:type="dxa" w:w="3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Excessive or stale privileged access; lack of SoD</w:t>
            </w:r>
          </w:p>
        </w:tc>
        <w:tc>
          <w:tcPr>
            <w:tcW w:type="dxa" w:w="40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Could enable unauthorized loan creation, approval, or data tampering.</w:t>
            </w:r>
          </w:p>
        </w:tc>
      </w:tr>
      <w:tr>
        <w:tc>
          <w:tcPr>
            <w:tcW w:type="dxa" w:w="18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Authentication</w:t>
            </w:r>
          </w:p>
        </w:tc>
        <w:tc>
          <w:tcPr>
            <w:tcW w:type="dxa" w:w="3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Weak password policy / absence of MFA on admin accounts</w:t>
            </w:r>
          </w:p>
        </w:tc>
        <w:tc>
          <w:tcPr>
            <w:tcW w:type="dxa" w:w="40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Increases risk of account takeover and unauthorized fund/loan manipulation.</w:t>
            </w:r>
          </w:p>
        </w:tc>
      </w:tr>
      <w:tr>
        <w:tc>
          <w:tcPr>
            <w:tcW w:type="dxa" w:w="18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Data Protection</w:t>
            </w:r>
          </w:p>
        </w:tc>
        <w:tc>
          <w:tcPr>
            <w:tcW w:type="dxa" w:w="3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Unencrypted data at rest/in transit; exposed cloud storage</w:t>
            </w:r>
          </w:p>
        </w:tc>
        <w:tc>
          <w:tcPr>
            <w:tcW w:type="dxa" w:w="40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Direct exposure of borrower PII and financial data; regulatory breach risk.</w:t>
            </w:r>
          </w:p>
        </w:tc>
      </w:tr>
      <w:tr>
        <w:tc>
          <w:tcPr>
            <w:tcW w:type="dxa" w:w="18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Logging &amp; Monitoring</w:t>
            </w:r>
          </w:p>
        </w:tc>
        <w:tc>
          <w:tcPr>
            <w:tcW w:type="dxa" w:w="3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Logs not retained, not centrally monitored, or tamperable</w:t>
            </w:r>
          </w:p>
        </w:tc>
        <w:tc>
          <w:tcPr>
            <w:tcW w:type="dxa" w:w="40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Limits ability to detect or investigate fraud or intrusion (links to SOP Step 4 evidence requirements).</w:t>
            </w:r>
          </w:p>
        </w:tc>
      </w:tr>
      <w:tr>
        <w:tc>
          <w:tcPr>
            <w:tcW w:type="dxa" w:w="18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Vulnerability Management</w:t>
            </w:r>
          </w:p>
        </w:tc>
        <w:tc>
          <w:tcPr>
            <w:tcW w:type="dxa" w:w="3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Unpatched OS/DB/middleware</w:t>
            </w:r>
          </w:p>
        </w:tc>
        <w:tc>
          <w:tcPr>
            <w:tcW w:type="dxa" w:w="40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Known exploits could be used to compromise the LMS or pivot to other systems.</w:t>
            </w:r>
          </w:p>
        </w:tc>
      </w:tr>
      <w:tr>
        <w:tc>
          <w:tcPr>
            <w:tcW w:type="dxa" w:w="18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Backup &amp; DR</w:t>
            </w:r>
          </w:p>
        </w:tc>
        <w:tc>
          <w:tcPr>
            <w:tcW w:type="dxa" w:w="3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Untested backups or no DR plan for LMS</w:t>
            </w:r>
          </w:p>
        </w:tc>
        <w:tc>
          <w:tcPr>
            <w:tcW w:type="dxa" w:w="40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Risk of permanent data loss or extended downtime impacting lending operations.</w:t>
            </w:r>
          </w:p>
        </w:tc>
      </w:tr>
      <w:tr>
        <w:tc>
          <w:tcPr>
            <w:tcW w:type="dxa" w:w="18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Cloud/Third-Party</w:t>
            </w:r>
          </w:p>
        </w:tc>
        <w:tc>
          <w:tcPr>
            <w:tcW w:type="dxa" w:w="3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Misconfigured cloud storage (e.g., public S3 buckets), weak vendor controls</w:t>
            </w:r>
          </w:p>
        </w:tc>
        <w:tc>
          <w:tcPr>
            <w:tcW w:type="dxa" w:w="40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 common real-world cause of major financial-sector data breaches.</w:t>
            </w:r>
          </w:p>
        </w:tc>
      </w:tr>
      <w:tr>
        <w:tc>
          <w:tcPr>
            <w:tcW w:type="dxa" w:w="18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Change Management</w:t>
            </w:r>
          </w:p>
        </w:tc>
        <w:tc>
          <w:tcPr>
            <w:tcW w:type="dxa" w:w="3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No security sign-off before production deployment</w:t>
            </w:r>
          </w:p>
        </w:tc>
        <w:tc>
          <w:tcPr>
            <w:tcW w:type="dxa" w:w="40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Insecure changes could be pushed to production without security review.</w:t>
            </w:r>
          </w:p>
        </w:tc>
      </w:tr>
      <w:tr>
        <w:tc>
          <w:tcPr>
            <w:tcW w:type="dxa" w:w="18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Incident Response</w:t>
            </w:r>
          </w:p>
        </w:tc>
        <w:tc>
          <w:tcPr>
            <w:tcW w:type="dxa" w:w="3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No tested IR plan for LMS-specific incidents</w:t>
            </w:r>
          </w:p>
        </w:tc>
        <w:tc>
          <w:tcPr>
            <w:tcW w:type="dxa" w:w="40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Slower containment and higher impact in the event of a breach.</w:t>
            </w:r>
          </w:p>
        </w:tc>
      </w:tr>
      <w:tr>
        <w:tc>
          <w:tcPr>
            <w:tcW w:type="dxa" w:w="18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Business Logic (Security)</w:t>
            </w:r>
          </w:p>
        </w:tc>
        <w:tc>
          <w:tcPr>
            <w:tcW w:type="dxa" w:w="3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Workflow bypass enabling self-approval, duplicate disbursement, or parameter tampering</w:t>
            </w:r>
          </w:p>
        </w:tc>
        <w:tc>
          <w:tcPr>
            <w:tcW w:type="dxa" w:w="40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Could allow fraudulent loans or unauthorized fund movement even where access controls appear sound.</w:t>
            </w:r>
          </w:p>
        </w:tc>
      </w:tr>
      <w:tr>
        <w:tc>
          <w:tcPr>
            <w:tcW w:type="dxa" w:w="18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Business Logic (Correctness)</w:t>
            </w:r>
          </w:p>
        </w:tc>
        <w:tc>
          <w:tcPr>
            <w:tcW w:type="dxa" w:w="3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Calculation engine deviates from approved policy (interest accrual, rounding, rate caps)</w:t>
            </w:r>
          </w:p>
        </w:tc>
        <w:tc>
          <w:tcPr>
            <w:tcW w:type="dxa" w:w="40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Could cause regulatory non-compliance (e.g., rate cap breach) or financial loss undetected by access-control testing alone.</w:t>
            </w:r>
          </w:p>
        </w:tc>
      </w:tr>
    </w:tbl>
    <w:p>
      <w:pPr>
        <w:pStyle w:val="Heading1"/>
      </w:pPr>
      <w:r>
        <w:t xml:space="preserve">6.0 Stakeholders &amp; Communication Protocol</w:t>
      </w:r>
    </w:p>
    <w:p>
      <w:pPr>
        <w:spacing w:after="160"/>
      </w:pPr>
      <w:r>
        <w:t xml:space="preserve">In line with SOP Section 4.3 (Correspondence Protocol) and Section 5.0 (Correspondence Framework), all formal communication for this audit follows the chain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Role</w:t>
            </w:r>
          </w:p>
        </w:tc>
        <w:tc>
          <w:tcPr>
            <w:tcW w:type="dxa" w:w="29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Name / Title</w:t>
            </w:r>
          </w:p>
        </w:tc>
        <w:tc>
          <w:tcPr>
            <w:tcW w:type="dxa" w:w="42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Responsibility in This Audit</w:t>
            </w:r>
          </w:p>
        </w:tc>
      </w:tr>
      <w:tr>
        <w:tc>
          <w:tcPr>
            <w:tcW w:type="dxa" w:w="2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Primary Contact (HoD)</w:t>
            </w:r>
          </w:p>
        </w:tc>
        <w:tc>
          <w:tcPr>
            <w:tcW w:type="dxa" w:w="29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Clifford Isaboke – Head of IT Operations</w:t>
            </w:r>
          </w:p>
        </w:tc>
        <w:tc>
          <w:tcPr>
            <w:tcW w:type="dxa" w:w="42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Single point of contact for all formal information requests; copied on all correspondence; coordinates infrastructure/system access.</w:t>
            </w:r>
          </w:p>
        </w:tc>
      </w:tr>
      <w:tr>
        <w:tc>
          <w:tcPr>
            <w:tcW w:type="dxa" w:w="2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Risk Oversight</w:t>
            </w:r>
          </w:p>
        </w:tc>
        <w:tc>
          <w:tcPr>
            <w:tcW w:type="dxa" w:w="29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Annita Juma – Head of Risk Management</w:t>
            </w:r>
          </w:p>
        </w:tc>
        <w:tc>
          <w:tcPr>
            <w:tcW w:type="dxa" w:w="42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Receives audit plan and findings for risk monitoring; confirms applicable regulatory framework; owns CAPA tracker per SOP 4.9; nominates the Business Logic / Credit Policy SME.</w:t>
            </w:r>
          </w:p>
        </w:tc>
      </w:tr>
      <w:tr>
        <w:tc>
          <w:tcPr>
            <w:tcW w:type="dxa" w:w="2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Business Logic / Credit Policy SME</w:t>
            </w:r>
          </w:p>
        </w:tc>
        <w:tc>
          <w:tcPr>
            <w:tcW w:type="dxa" w:w="29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[To be nominated by Annita Juma – Finance/Credit Policy lead]</w:t>
            </w:r>
          </w:p>
        </w:tc>
        <w:tc>
          <w:tcPr>
            <w:tcW w:type="dxa" w:w="42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Confirms approved loan calculation, fee, and underwriting rule specifications; co-validates findings under Domain 14 (correctness review).</w:t>
            </w:r>
          </w:p>
        </w:tc>
      </w:tr>
      <w:tr>
        <w:tc>
          <w:tcPr>
            <w:tcW w:type="dxa" w:w="2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Development Liaison (limited)</w:t>
            </w:r>
          </w:p>
        </w:tc>
        <w:tc>
          <w:tcPr>
            <w:tcW w:type="dxa" w:w="29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Thadeus Odenyo – Head of Software Development</w:t>
            </w:r>
          </w:p>
        </w:tc>
        <w:tc>
          <w:tcPr>
            <w:tcW w:type="dxa" w:w="42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Consulted only where configuration/environment access (not source code) is required, and as the referral point if a business logic finding is traced to a system defect rather than a missing control.</w:t>
            </w:r>
          </w:p>
        </w:tc>
      </w:tr>
      <w:tr>
        <w:tc>
          <w:tcPr>
            <w:tcW w:type="dxa" w:w="2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Lead Auditor</w:t>
            </w:r>
          </w:p>
        </w:tc>
        <w:tc>
          <w:tcPr>
            <w:tcW w:type="dxa" w:w="29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Samwel – Cybersecurity Auditor</w:t>
            </w:r>
          </w:p>
        </w:tc>
        <w:tc>
          <w:tcPr>
            <w:tcW w:type="dxa" w:w="42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Executes the audit, maintains independence, documents evidence, develops findings, presents at exit meeting.</w:t>
            </w:r>
          </w:p>
        </w:tc>
      </w:tr>
      <w:tr>
        <w:tc>
          <w:tcPr>
            <w:tcW w:type="dxa" w:w="2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Escalation Point</w:t>
            </w:r>
          </w:p>
        </w:tc>
        <w:tc>
          <w:tcPr>
            <w:tcW w:type="dxa" w:w="29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Sector Manager / Executive (per SOP 4.3.4 and 6.0)</w:t>
            </w:r>
          </w:p>
        </w:tc>
        <w:tc>
          <w:tcPr>
            <w:tcW w:type="dxa" w:w="42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Engaged only if there is non-cooperation, unresolved data inconsistency, or suspected fraud (SOP Section 6.0).</w:t>
            </w:r>
          </w:p>
        </w:tc>
      </w:tr>
    </w:tbl>
    <w:p>
      <w:pPr>
        <w:pBdr>
          <w:left w:val="single" w:color="1F3864" w:sz="18" w:space="8"/>
        </w:pBdr>
        <w:spacing w:after="200" w:before="80"/>
      </w:pPr>
      <w:r>
        <w:rPr>
          <w:i/>
          <w:iCs/>
          <w:color w:val="44546A"/>
        </w:rPr>
        <w:t xml:space="preserve">Per SOP 4.3.3: direct engagement with technical staff (e.g., system administrators, DBAs) for clarifications, walkthroughs, or evidence verification is permitted, provided the HoD remains aware and is not bypassed.</w:t>
      </w:r>
    </w:p>
    <w:p>
      <w:pPr>
        <w:pStyle w:val="Heading1"/>
      </w:pPr>
      <w:r>
        <w:t xml:space="preserve">7.0 Audit Methodology</w:t>
      </w:r>
    </w:p>
    <w:p>
      <w:pPr>
        <w:spacing w:after="160"/>
      </w:pPr>
      <w:r>
        <w:t xml:space="preserve">Fieldwork (SOP Step 4) will use a combination of document review, configuration review, technical verification, workflow/business-logic testing, and interviews. No source code repositories will be accessed or reviewed.</w:t>
      </w:r>
    </w:p>
    <w:p>
      <w:pPr>
        <w:pStyle w:val="Heading2"/>
      </w:pPr>
      <w:r>
        <w:t xml:space="preserve">7.1 Document Review</w:t>
      </w:r>
    </w:p>
    <w:p>
      <w:pPr>
        <w:pStyle w:val="ListParagraph"/>
        <w:numPr>
          <w:ilvl w:val="0"/>
          <w:numId w:val="2"/>
        </w:numPr>
        <w:spacing w:after="60"/>
      </w:pPr>
      <w:r>
        <w:t xml:space="preserve">Information Security Policy, Access Control Policy, Backup/DR Policy (if available)</w:t>
      </w:r>
    </w:p>
    <w:p>
      <w:pPr>
        <w:pStyle w:val="ListParagraph"/>
        <w:numPr>
          <w:ilvl w:val="0"/>
          <w:numId w:val="2"/>
        </w:numPr>
        <w:spacing w:after="60"/>
      </w:pPr>
      <w:r>
        <w:t xml:space="preserve">Network architecture diagrams covering the LMS</w:t>
      </w:r>
    </w:p>
    <w:p>
      <w:pPr>
        <w:pStyle w:val="ListParagraph"/>
        <w:numPr>
          <w:ilvl w:val="0"/>
          <w:numId w:val="2"/>
        </w:numPr>
        <w:spacing w:after="60"/>
      </w:pPr>
      <w:r>
        <w:t xml:space="preserve">Most recent vulnerability scan and/or penetration test reports</w:t>
      </w:r>
    </w:p>
    <w:p>
      <w:pPr>
        <w:pStyle w:val="ListParagraph"/>
        <w:numPr>
          <w:ilvl w:val="0"/>
          <w:numId w:val="2"/>
        </w:numPr>
        <w:spacing w:after="60"/>
      </w:pPr>
      <w:r>
        <w:t xml:space="preserve">Incident response plan and any past LMS-related incident records</w:t>
      </w:r>
    </w:p>
    <w:p>
      <w:pPr>
        <w:pStyle w:val="ListParagraph"/>
        <w:numPr>
          <w:ilvl w:val="0"/>
          <w:numId w:val="2"/>
        </w:numPr>
        <w:spacing w:after="60"/>
      </w:pPr>
      <w:r>
        <w:t xml:space="preserve">User access lists / role matrices for the LMS</w:t>
      </w:r>
    </w:p>
    <w:p>
      <w:pPr>
        <w:pStyle w:val="ListParagraph"/>
        <w:numPr>
          <w:ilvl w:val="0"/>
          <w:numId w:val="2"/>
        </w:numPr>
        <w:spacing w:after="60"/>
      </w:pPr>
      <w:r>
        <w:t xml:space="preserve">Approved Credit/Loan Policy, interest rate sheet, and fee schedule (benchmark for Domain 14)</w:t>
      </w:r>
    </w:p>
    <w:p>
      <w:pPr>
        <w:pStyle w:val="Heading2"/>
      </w:pPr>
      <w:r>
        <w:t xml:space="preserve">7.2 Technical / Configuration Verification</w:t>
      </w:r>
    </w:p>
    <w:p>
      <w:pPr>
        <w:pStyle w:val="ListParagraph"/>
        <w:numPr>
          <w:ilvl w:val="0"/>
          <w:numId w:val="2"/>
        </w:numPr>
        <w:spacing w:after="60"/>
      </w:pPr>
      <w:r>
        <w:t xml:space="preserve">Review of authentication settings: password policy, MFA enforcement, session timeout</w:t>
      </w:r>
    </w:p>
    <w:p>
      <w:pPr>
        <w:pStyle w:val="ListParagraph"/>
        <w:numPr>
          <w:ilvl w:val="0"/>
          <w:numId w:val="2"/>
        </w:numPr>
        <w:spacing w:after="60"/>
      </w:pPr>
      <w:r>
        <w:t xml:space="preserve">Review of role-based access control configuration and segregation of duties matrix</w:t>
      </w:r>
    </w:p>
    <w:p>
      <w:pPr>
        <w:pStyle w:val="ListParagraph"/>
        <w:numPr>
          <w:ilvl w:val="0"/>
          <w:numId w:val="2"/>
        </w:numPr>
        <w:spacing w:after="60"/>
      </w:pPr>
      <w:r>
        <w:t xml:space="preserve">Review of encryption configuration (TLS version in transit; encryption-at-rest settings for database/storage)</w:t>
      </w:r>
    </w:p>
    <w:p>
      <w:pPr>
        <w:pStyle w:val="ListParagraph"/>
        <w:numPr>
          <w:ilvl w:val="0"/>
          <w:numId w:val="2"/>
        </w:numPr>
        <w:spacing w:after="60"/>
      </w:pPr>
      <w:r>
        <w:t xml:space="preserve">Review of firewall/network segmentation rules relevant to the LMS</w:t>
      </w:r>
    </w:p>
    <w:p>
      <w:pPr>
        <w:pStyle w:val="ListParagraph"/>
        <w:numPr>
          <w:ilvl w:val="0"/>
          <w:numId w:val="2"/>
        </w:numPr>
        <w:spacing w:after="60"/>
      </w:pPr>
      <w:r>
        <w:t xml:space="preserve">Review of cloud storage configuration (e.g., AWS S3 bucket policies, public access settings, versioning)</w:t>
      </w:r>
    </w:p>
    <w:p>
      <w:pPr>
        <w:pStyle w:val="ListParagraph"/>
        <w:numPr>
          <w:ilvl w:val="0"/>
          <w:numId w:val="2"/>
        </w:numPr>
        <w:spacing w:after="60"/>
      </w:pPr>
      <w:r>
        <w:t xml:space="preserve">Review of logging configuration: what is logged, where logs are stored, retention period, access to logs</w:t>
      </w:r>
    </w:p>
    <w:p>
      <w:pPr>
        <w:pStyle w:val="ListParagraph"/>
        <w:numPr>
          <w:ilvl w:val="0"/>
          <w:numId w:val="2"/>
        </w:numPr>
        <w:spacing w:after="60"/>
      </w:pPr>
      <w:r>
        <w:t xml:space="preserve">Review of patch levels for OS/DB/middleware versus vendor advisories</w:t>
      </w:r>
    </w:p>
    <w:p>
      <w:pPr>
        <w:pStyle w:val="ListParagraph"/>
        <w:numPr>
          <w:ilvl w:val="0"/>
          <w:numId w:val="2"/>
        </w:numPr>
        <w:spacing w:after="60"/>
      </w:pPr>
      <w:r>
        <w:t xml:space="preserve">Review of backup configuration and most recent restore test evidence</w:t>
      </w:r>
    </w:p>
    <w:p>
      <w:pPr>
        <w:pStyle w:val="Heading2"/>
      </w:pPr>
      <w:r>
        <w:t xml:space="preserve">7.3 Interviews &amp; Walkthroughs</w:t>
      </w:r>
    </w:p>
    <w:p>
      <w:pPr>
        <w:pStyle w:val="ListParagraph"/>
        <w:numPr>
          <w:ilvl w:val="0"/>
          <w:numId w:val="2"/>
        </w:numPr>
        <w:spacing w:after="60"/>
      </w:pPr>
      <w:r>
        <w:t xml:space="preserve">IT Operations team: infrastructure and access administration practices</w:t>
      </w:r>
    </w:p>
    <w:p>
      <w:pPr>
        <w:pStyle w:val="ListParagraph"/>
        <w:numPr>
          <w:ilvl w:val="0"/>
          <w:numId w:val="2"/>
        </w:numPr>
        <w:spacing w:after="60"/>
      </w:pPr>
      <w:r>
        <w:t xml:space="preserve">System/Database administrators: privileged access management, patching process</w:t>
      </w:r>
    </w:p>
    <w:p>
      <w:pPr>
        <w:pStyle w:val="ListParagraph"/>
        <w:numPr>
          <w:ilvl w:val="0"/>
          <w:numId w:val="2"/>
        </w:numPr>
        <w:spacing w:after="60"/>
      </w:pPr>
      <w:r>
        <w:t xml:space="preserve">Risk &amp; Compliance: incident history, regulatory obligations</w:t>
      </w:r>
    </w:p>
    <w:p>
      <w:pPr>
        <w:pStyle w:val="ListParagraph"/>
        <w:numPr>
          <w:ilvl w:val="0"/>
          <w:numId w:val="2"/>
        </w:numPr>
        <w:spacing w:after="60"/>
      </w:pPr>
      <w:r>
        <w:t xml:space="preserve">Business Logic / Credit Policy SME: walkthrough of approved calculation and underwriting rules</w:t>
      </w:r>
    </w:p>
    <w:p>
      <w:pPr>
        <w:pStyle w:val="Heading2"/>
      </w:pPr>
      <w:r>
        <w:t xml:space="preserve">7.4 Evidence Verification Principle</w:t>
      </w:r>
    </w:p>
    <w:p>
      <w:pPr>
        <w:spacing w:after="160"/>
      </w:pPr>
      <w:r>
        <w:t xml:space="preserve">Consistent with SOP Section 4.4 (“Trust but verify”), every control claim made by the auditee must be supported by evidence — a stated control with no corresponding configuration screenshot, log extract, or policy document will be scored as Partial or Non-compliant, not Compliant.</w:t>
      </w:r>
    </w:p>
    <w:p>
      <w:pPr>
        <w:pStyle w:val="Heading2"/>
      </w:pPr>
      <w:r>
        <w:t xml:space="preserve">7.5 Business Logic Security Testing (Workflow &amp; Authorization Abuse)</w:t>
      </w:r>
    </w:p>
    <w:p>
      <w:pPr>
        <w:spacing w:after="160"/>
      </w:pPr>
      <w:r>
        <w:t xml:space="preserve">Performed using a non-production or sandboxed test account wherever possible, with prior written authorization from IT Operations, to avoid creating real financial transactions:</w:t>
      </w:r>
    </w:p>
    <w:p>
      <w:pPr>
        <w:pStyle w:val="ListParagraph"/>
        <w:numPr>
          <w:ilvl w:val="0"/>
          <w:numId w:val="2"/>
        </w:numPr>
        <w:spacing w:after="60"/>
      </w:pPr>
      <w:r>
        <w:t xml:space="preserve">Attempt to approve a loan using the same account that initiated it (self-approval test)</w:t>
      </w:r>
    </w:p>
    <w:p>
      <w:pPr>
        <w:pStyle w:val="ListParagraph"/>
        <w:numPr>
          <w:ilvl w:val="0"/>
          <w:numId w:val="2"/>
        </w:numPr>
        <w:spacing w:after="60"/>
      </w:pPr>
      <w:r>
        <w:t xml:space="preserve">Attempt to modify loan amount, interest rate, or term via direct API/request manipulation, bypassing the UI workflow</w:t>
      </w:r>
    </w:p>
    <w:p>
      <w:pPr>
        <w:pStyle w:val="ListParagraph"/>
        <w:numPr>
          <w:ilvl w:val="0"/>
          <w:numId w:val="2"/>
        </w:numPr>
        <w:spacing w:after="60"/>
      </w:pPr>
      <w:r>
        <w:t xml:space="preserve">Resubmit/replay a disbursement request to test for duplicate disbursement</w:t>
      </w:r>
    </w:p>
    <w:p>
      <w:pPr>
        <w:pStyle w:val="ListParagraph"/>
        <w:numPr>
          <w:ilvl w:val="0"/>
          <w:numId w:val="2"/>
        </w:numPr>
        <w:spacing w:after="60"/>
      </w:pPr>
      <w:r>
        <w:t xml:space="preserve">Attempt to access or modify another borrower's loan record by changing a record identifier (IDOR test)</w:t>
      </w:r>
    </w:p>
    <w:p>
      <w:pPr>
        <w:pStyle w:val="ListParagraph"/>
        <w:numPr>
          <w:ilvl w:val="0"/>
          <w:numId w:val="2"/>
        </w:numPr>
        <w:spacing w:after="60"/>
      </w:pPr>
      <w:r>
        <w:t xml:space="preserve">Verify application-enforced segregation of duties matches the documented role matrix under live testing, not configuration review alone</w:t>
      </w:r>
    </w:p>
    <w:p>
      <w:pPr>
        <w:pStyle w:val="ListParagraph"/>
        <w:numPr>
          <w:ilvl w:val="0"/>
          <w:numId w:val="2"/>
        </w:numPr>
        <w:spacing w:after="60"/>
      </w:pPr>
      <w:r>
        <w:t xml:space="preserve">Submit negative, zero, or out-of-range values for loan amount/term and confirm rejection</w:t>
      </w:r>
    </w:p>
    <w:p>
      <w:pPr>
        <w:pStyle w:val="Heading2"/>
      </w:pPr>
      <w:r>
        <w:t xml:space="preserve">7.6 Business Logic / Policy Correctness Review (Coordinated with Risk &amp; Finance)</w:t>
      </w:r>
    </w:p>
    <w:p>
      <w:pPr>
        <w:spacing w:after="160"/>
      </w:pPr>
      <w:r>
        <w:t xml:space="preserve">Performed jointly with the nominated Business Logic / Credit Policy SME; the cybersecurity auditor's role is independent re-performance and evidence documentation, not final policy interpretation:</w:t>
      </w:r>
    </w:p>
    <w:p>
      <w:pPr>
        <w:pStyle w:val="ListParagraph"/>
        <w:numPr>
          <w:ilvl w:val="0"/>
          <w:numId w:val="2"/>
        </w:numPr>
        <w:spacing w:after="60"/>
      </w:pPr>
      <w:r>
        <w:t xml:space="preserve">Select a risk-based sample of loan records across product types and tenures</w:t>
      </w:r>
    </w:p>
    <w:p>
      <w:pPr>
        <w:pStyle w:val="ListParagraph"/>
        <w:numPr>
          <w:ilvl w:val="0"/>
          <w:numId w:val="2"/>
        </w:numPr>
        <w:spacing w:after="60"/>
      </w:pPr>
      <w:r>
        <w:t xml:space="preserve">Re-perform interest, fee, and repayment schedule calculations and compare to system output</w:t>
      </w:r>
    </w:p>
    <w:p>
      <w:pPr>
        <w:pStyle w:val="ListParagraph"/>
        <w:numPr>
          <w:ilvl w:val="0"/>
          <w:numId w:val="2"/>
        </w:numPr>
        <w:spacing w:after="60"/>
      </w:pPr>
      <w:r>
        <w:t xml:space="preserve">Confirm underwriting eligibility rules configured in the system match the approved credit policy</w:t>
      </w:r>
    </w:p>
    <w:p>
      <w:pPr>
        <w:pStyle w:val="ListParagraph"/>
        <w:numPr>
          <w:ilvl w:val="0"/>
          <w:numId w:val="2"/>
        </w:numPr>
        <w:spacing w:after="60"/>
      </w:pPr>
      <w:r>
        <w:t xml:space="preserve">Confirm system-applied interest rates do not breach any applicable regulatory cap</w:t>
      </w:r>
    </w:p>
    <w:p>
      <w:pPr>
        <w:pStyle w:val="ListParagraph"/>
        <w:numPr>
          <w:ilvl w:val="0"/>
          <w:numId w:val="2"/>
        </w:numPr>
        <w:spacing w:after="60"/>
      </w:pPr>
      <w:r>
        <w:t xml:space="preserve">Document any discrepancy with evidence; refer to Development (Thadeus Odenyo) if a system defect is suspected, or to Risk/Finance if a policy interpretation question arises</w:t>
      </w:r>
    </w:p>
    <w:p>
      <w:pPr>
        <w:pStyle w:val="Heading1"/>
      </w:pPr>
      <w:r>
        <w:t xml:space="preserve">8.0 Evidence &amp; Documentation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Evidence Type</w:t>
            </w:r>
          </w:p>
        </w:tc>
        <w:tc>
          <w:tcPr>
            <w:tcW w:type="dxa" w:w="67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Examples Specific to This Audit</w:t>
            </w:r>
          </w:p>
        </w:tc>
      </w:tr>
      <w:tr>
        <w:tc>
          <w:tcPr>
            <w:tcW w:type="dxa" w:w="26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Configuration evidence</w:t>
            </w:r>
          </w:p>
        </w:tc>
        <w:tc>
          <w:tcPr>
            <w:tcW w:type="dxa" w:w="67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Screenshots/exports of password policy settings, MFA enforcement, firewall rules, S3 bucket policies.</w:t>
            </w:r>
          </w:p>
        </w:tc>
      </w:tr>
      <w:tr>
        <w:tc>
          <w:tcPr>
            <w:tcW w:type="dxa" w:w="26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Log evidence</w:t>
            </w:r>
          </w:p>
        </w:tc>
        <w:tc>
          <w:tcPr>
            <w:tcW w:type="dxa" w:w="67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Sample security/audit log extracts demonstrating capture of login attempts, privileged actions.</w:t>
            </w:r>
          </w:p>
        </w:tc>
      </w:tr>
      <w:tr>
        <w:tc>
          <w:tcPr>
            <w:tcW w:type="dxa" w:w="26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Policy/process documents</w:t>
            </w:r>
          </w:p>
        </w:tc>
        <w:tc>
          <w:tcPr>
            <w:tcW w:type="dxa" w:w="67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Information Security Policy, Access Review procedure, Incident Response Plan, approved Credit/Loan Policy.</w:t>
            </w:r>
          </w:p>
        </w:tc>
      </w:tr>
      <w:tr>
        <w:tc>
          <w:tcPr>
            <w:tcW w:type="dxa" w:w="26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Scan/test reports</w:t>
            </w:r>
          </w:p>
        </w:tc>
        <w:tc>
          <w:tcPr>
            <w:tcW w:type="dxa" w:w="67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Latest vulnerability scan results, penetration test report (if any), patch compliance report.</w:t>
            </w:r>
          </w:p>
        </w:tc>
      </w:tr>
      <w:tr>
        <w:tc>
          <w:tcPr>
            <w:tcW w:type="dxa" w:w="26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Access records</w:t>
            </w:r>
          </w:p>
        </w:tc>
        <w:tc>
          <w:tcPr>
            <w:tcW w:type="dxa" w:w="67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User/role list for LMS, evidence of last periodic access review and any de-provisioning records for leavers.</w:t>
            </w:r>
          </w:p>
        </w:tc>
      </w:tr>
      <w:tr>
        <w:tc>
          <w:tcPr>
            <w:tcW w:type="dxa" w:w="26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Backup/DR evidence</w:t>
            </w:r>
          </w:p>
        </w:tc>
        <w:tc>
          <w:tcPr>
            <w:tcW w:type="dxa" w:w="67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Backup job logs, encryption confirmation, most recent restore test result.</w:t>
            </w:r>
          </w:p>
        </w:tc>
      </w:tr>
      <w:tr>
        <w:tc>
          <w:tcPr>
            <w:tcW w:type="dxa" w:w="26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Business logic security test evidence</w:t>
            </w:r>
          </w:p>
        </w:tc>
        <w:tc>
          <w:tcPr>
            <w:tcW w:type="dxa" w:w="67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Screenshots/recordings of workflow-bypass attempts and outcomes; sample API request/response pairs showing server-side validation behavior.</w:t>
            </w:r>
          </w:p>
        </w:tc>
      </w:tr>
      <w:tr>
        <w:tc>
          <w:tcPr>
            <w:tcW w:type="dxa" w:w="26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Business logic correctness evidence</w:t>
            </w:r>
          </w:p>
        </w:tc>
        <w:tc>
          <w:tcPr>
            <w:tcW w:type="dxa" w:w="67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Approved policy/rate sheet documents; sample loan records with independently recalculated figures and variance notes, signed off by the SME.</w:t>
            </w:r>
          </w:p>
        </w:tc>
      </w:tr>
      <w:tr>
        <w:tc>
          <w:tcPr>
            <w:tcW w:type="dxa" w:w="26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Interview notes</w:t>
            </w:r>
          </w:p>
        </w:tc>
        <w:tc>
          <w:tcPr>
            <w:tcW w:type="dxa" w:w="67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Signed/dated notes from walkthroughs with IT Operations, System Administrators, and the Credit Policy SME.</w:t>
            </w:r>
          </w:p>
        </w:tc>
      </w:tr>
    </w:tbl>
    <w:p>
      <w:pPr>
        <w:pStyle w:val="Heading1"/>
      </w:pPr>
      <w:r>
        <w:t xml:space="preserve">9.0 Audit Checklist &amp; Scoring</w:t>
      </w:r>
    </w:p>
    <w:p>
      <w:pPr>
        <w:spacing w:after="160"/>
      </w:pPr>
      <w:r>
        <w:t xml:space="preserve">A full, line-item Audit Checklist covering all 14 domains in Section 2.1 — including business logic security and correctness — is provided in Appendix A. Each item is scored per the SOP standard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5660"/>
      </w:tblGrid>
      <w:tr>
        <w:trPr>
          <w:tblHeader/>
        </w:trPr>
        <w:tc>
          <w:tcPr>
            <w:tcW w:type="dxa" w:w="14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Score</w:t>
            </w:r>
          </w:p>
        </w:tc>
        <w:tc>
          <w:tcPr>
            <w:tcW w:type="dxa" w:w="23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Meaning</w:t>
            </w:r>
          </w:p>
        </w:tc>
        <w:tc>
          <w:tcPr>
            <w:tcW w:type="dxa" w:w="56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Application in This Audit</w:t>
            </w:r>
          </w:p>
        </w:tc>
      </w:tr>
      <w:tr>
        <w:tc>
          <w:tcPr>
            <w:tcW w:type="dxa" w:w="14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2</w:t>
            </w:r>
          </w:p>
        </w:tc>
        <w:tc>
          <w:tcPr>
            <w:tcW w:type="dxa" w:w="23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Compliant</w:t>
            </w:r>
          </w:p>
        </w:tc>
        <w:tc>
          <w:tcPr>
            <w:tcW w:type="dxa" w:w="56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Control exists, is correctly configured/applied, and is supported by verifiable evidence.</w:t>
            </w:r>
          </w:p>
        </w:tc>
      </w:tr>
      <w:tr>
        <w:tc>
          <w:tcPr>
            <w:tcW w:type="dxa" w:w="14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w:t>
            </w:r>
          </w:p>
        </w:tc>
        <w:tc>
          <w:tcPr>
            <w:tcW w:type="dxa" w:w="23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Partial</w:t>
            </w:r>
          </w:p>
        </w:tc>
        <w:tc>
          <w:tcPr>
            <w:tcW w:type="dxa" w:w="56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Control exists but is incomplete, inconsistently applied, or evidence is incomplete.</w:t>
            </w:r>
          </w:p>
        </w:tc>
      </w:tr>
      <w:tr>
        <w:tc>
          <w:tcPr>
            <w:tcW w:type="dxa" w:w="14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0</w:t>
            </w:r>
          </w:p>
        </w:tc>
        <w:tc>
          <w:tcPr>
            <w:tcW w:type="dxa" w:w="23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Non-compliant</w:t>
            </w:r>
          </w:p>
        </w:tc>
        <w:tc>
          <w:tcPr>
            <w:tcW w:type="dxa" w:w="56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Control is absent, ineffective, bypassed during testing, or no evidence could be produced.</w:t>
            </w:r>
          </w:p>
        </w:tc>
      </w:tr>
    </w:tbl>
    <w:p>
      <w:pPr>
        <w:pStyle w:val="Heading1"/>
      </w:pPr>
      <w:r>
        <w:t xml:space="preserve">10.0 Tools &amp; Techniques</w:t>
      </w:r>
    </w:p>
    <w:p>
      <w:pPr>
        <w:spacing w:after="160"/>
      </w:pPr>
      <w:r>
        <w:t xml:space="preserve">All technical testing will be non-intrusive and read-only / configuration-review based, except where explicitly authorized workflow testing is required for Domain 13:</w:t>
      </w:r>
    </w:p>
    <w:p>
      <w:pPr>
        <w:pStyle w:val="ListParagraph"/>
        <w:numPr>
          <w:ilvl w:val="0"/>
          <w:numId w:val="2"/>
        </w:numPr>
        <w:spacing w:after="60"/>
      </w:pPr>
      <w:r>
        <w:t xml:space="preserve">Authenticated configuration review (manual) of IAM, network, and encryption settings</w:t>
      </w:r>
    </w:p>
    <w:p>
      <w:pPr>
        <w:pStyle w:val="ListParagraph"/>
        <w:numPr>
          <w:ilvl w:val="0"/>
          <w:numId w:val="2"/>
        </w:numPr>
        <w:spacing w:after="60"/>
      </w:pPr>
      <w:r>
        <w:t xml:space="preserve">Review of existing vulnerability scan / penetration test reports (or commissioning a scan if none exist and management approves)</w:t>
      </w:r>
    </w:p>
    <w:p>
      <w:pPr>
        <w:pStyle w:val="ListParagraph"/>
        <w:numPr>
          <w:ilvl w:val="0"/>
          <w:numId w:val="2"/>
        </w:numPr>
        <w:spacing w:after="60"/>
      </w:pPr>
      <w:r>
        <w:t xml:space="preserve">Log sampling and review using existing log/SIEM tooling already in place</w:t>
      </w:r>
    </w:p>
    <w:p>
      <w:pPr>
        <w:pStyle w:val="ListParagraph"/>
        <w:numPr>
          <w:ilvl w:val="0"/>
          <w:numId w:val="2"/>
        </w:numPr>
        <w:spacing w:after="60"/>
      </w:pPr>
      <w:r>
        <w:t xml:space="preserve">Cloud configuration review (e.g., AWS console/CLI read-only review of S3 bucket policies)</w:t>
      </w:r>
    </w:p>
    <w:p>
      <w:pPr>
        <w:pStyle w:val="ListParagraph"/>
        <w:numPr>
          <w:ilvl w:val="0"/>
          <w:numId w:val="2"/>
        </w:numPr>
        <w:spacing w:after="60"/>
      </w:pPr>
      <w:r>
        <w:t xml:space="preserve">Controlled workflow/API testing tools (e.g., Postman, browser developer tools) for business logic security testing, restricted to a test/sandbox account and environment wherever available</w:t>
      </w:r>
    </w:p>
    <w:p>
      <w:pPr>
        <w:pStyle w:val="ListParagraph"/>
        <w:numPr>
          <w:ilvl w:val="0"/>
          <w:numId w:val="2"/>
        </w:numPr>
        <w:spacing w:after="60"/>
      </w:pPr>
      <w:r>
        <w:t xml:space="preserve">Manual recalculation (spreadsheet-based) for business logic correctness re-performance</w:t>
      </w:r>
    </w:p>
    <w:p>
      <w:pPr>
        <w:pBdr>
          <w:left w:val="single" w:color="1F3864" w:sz="18" w:space="8"/>
        </w:pBdr>
        <w:spacing w:after="200" w:before="80"/>
      </w:pPr>
      <w:r>
        <w:rPr>
          <w:i/>
          <w:iCs/>
          <w:color w:val="44546A"/>
        </w:rPr>
        <w:t xml:space="preserve">Any active scanning, penetration testing, or workflow-bypass testing against production systems requires prior written authorization from IT Operations and Risk, per SOP independence and authority provisions (Section 3.3), and must be scheduled to avoid disruption to live lending operations or creation of real financial transactions.</w:t>
      </w:r>
    </w:p>
    <w:p>
      <w:pPr>
        <w:pStyle w:val="Heading1"/>
      </w:pPr>
      <w:r>
        <w:t xml:space="preserve">11.0 Roles &amp; Responsibilities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900"/>
        <w:gridCol w:w="1860"/>
        <w:gridCol w:w="1100"/>
      </w:tblGrid>
      <w:tr>
        <w:trPr>
          <w:tblHeader/>
        </w:trPr>
        <w:tc>
          <w:tcPr>
            <w:tcW w:type="dxa" w:w="30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Activity</w:t>
            </w:r>
          </w:p>
        </w:tc>
        <w:tc>
          <w:tcPr>
            <w:tcW w:type="dxa" w:w="15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Cyber Auditor</w:t>
            </w:r>
          </w:p>
        </w:tc>
        <w:tc>
          <w:tcPr>
            <w:tcW w:type="dxa" w:w="19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IT Operations</w:t>
            </w:r>
          </w:p>
        </w:tc>
        <w:tc>
          <w:tcPr>
            <w:tcW w:type="dxa" w:w="18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Risk &amp; Compliance / SME</w:t>
            </w:r>
          </w:p>
        </w:tc>
        <w:tc>
          <w:tcPr>
            <w:tcW w:type="dxa" w:w="11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Executive</w:t>
            </w:r>
          </w:p>
        </w:tc>
      </w:tr>
      <w:tr>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Audit planning &amp; checklist development</w:t>
            </w:r>
          </w:p>
        </w:tc>
        <w:tc>
          <w:tcPr>
            <w:tcW w:type="dxa" w:w="1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R/A</w:t>
            </w:r>
          </w:p>
        </w:tc>
        <w:tc>
          <w:tcPr>
            <w:tcW w:type="dxa" w:w="19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w:t>
            </w:r>
          </w:p>
        </w:tc>
        <w:tc>
          <w:tcPr>
            <w:tcW w:type="dxa" w:w="18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w:t>
            </w:r>
          </w:p>
        </w:tc>
        <w:tc>
          <w:tcPr>
            <w:tcW w:type="dxa" w:w="11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I</w:t>
            </w:r>
          </w:p>
        </w:tc>
      </w:tr>
      <w:tr>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Audit notification &amp; entry meeting</w:t>
            </w:r>
          </w:p>
        </w:tc>
        <w:tc>
          <w:tcPr>
            <w:tcW w:type="dxa" w:w="1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R</w:t>
            </w:r>
          </w:p>
        </w:tc>
        <w:tc>
          <w:tcPr>
            <w:tcW w:type="dxa" w:w="19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w:t>
            </w:r>
          </w:p>
        </w:tc>
        <w:tc>
          <w:tcPr>
            <w:tcW w:type="dxa" w:w="18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I</w:t>
            </w:r>
          </w:p>
        </w:tc>
        <w:tc>
          <w:tcPr>
            <w:tcW w:type="dxa" w:w="11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I</w:t>
            </w:r>
          </w:p>
        </w:tc>
      </w:tr>
      <w:tr>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Providing system/config access</w:t>
            </w:r>
          </w:p>
        </w:tc>
        <w:tc>
          <w:tcPr>
            <w:tcW w:type="dxa" w:w="1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w:t>
            </w:r>
          </w:p>
        </w:tc>
        <w:tc>
          <w:tcPr>
            <w:tcW w:type="dxa" w:w="19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R/A</w:t>
            </w:r>
          </w:p>
        </w:tc>
        <w:tc>
          <w:tcPr>
            <w:tcW w:type="dxa" w:w="18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I</w:t>
            </w:r>
          </w:p>
        </w:tc>
        <w:tc>
          <w:tcPr>
            <w:tcW w:type="dxa" w:w="11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w:t>
            </w:r>
          </w:p>
        </w:tc>
      </w:tr>
      <w:tr>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Technical evidence collection &amp; verification</w:t>
            </w:r>
          </w:p>
        </w:tc>
        <w:tc>
          <w:tcPr>
            <w:tcW w:type="dxa" w:w="1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R/A</w:t>
            </w:r>
          </w:p>
        </w:tc>
        <w:tc>
          <w:tcPr>
            <w:tcW w:type="dxa" w:w="19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w:t>
            </w:r>
          </w:p>
        </w:tc>
        <w:tc>
          <w:tcPr>
            <w:tcW w:type="dxa" w:w="18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I</w:t>
            </w:r>
          </w:p>
        </w:tc>
        <w:tc>
          <w:tcPr>
            <w:tcW w:type="dxa" w:w="11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w:t>
            </w:r>
          </w:p>
        </w:tc>
      </w:tr>
      <w:tr>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Business logic security testing (workflow abuse)</w:t>
            </w:r>
          </w:p>
        </w:tc>
        <w:tc>
          <w:tcPr>
            <w:tcW w:type="dxa" w:w="1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R/A</w:t>
            </w:r>
          </w:p>
        </w:tc>
        <w:tc>
          <w:tcPr>
            <w:tcW w:type="dxa" w:w="19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w:t>
            </w:r>
          </w:p>
        </w:tc>
        <w:tc>
          <w:tcPr>
            <w:tcW w:type="dxa" w:w="18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w:t>
            </w:r>
          </w:p>
        </w:tc>
        <w:tc>
          <w:tcPr>
            <w:tcW w:type="dxa" w:w="11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w:t>
            </w:r>
          </w:p>
        </w:tc>
      </w:tr>
      <w:tr>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Business logic correctness re-performance</w:t>
            </w:r>
          </w:p>
        </w:tc>
        <w:tc>
          <w:tcPr>
            <w:tcW w:type="dxa" w:w="1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R</w:t>
            </w:r>
          </w:p>
        </w:tc>
        <w:tc>
          <w:tcPr>
            <w:tcW w:type="dxa" w:w="19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I</w:t>
            </w:r>
          </w:p>
        </w:tc>
        <w:tc>
          <w:tcPr>
            <w:tcW w:type="dxa" w:w="18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w:t>
            </w:r>
          </w:p>
        </w:tc>
        <w:tc>
          <w:tcPr>
            <w:tcW w:type="dxa" w:w="11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w:t>
            </w:r>
          </w:p>
        </w:tc>
      </w:tr>
      <w:tr>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Findings development &amp; scoring</w:t>
            </w:r>
          </w:p>
        </w:tc>
        <w:tc>
          <w:tcPr>
            <w:tcW w:type="dxa" w:w="1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R/A</w:t>
            </w:r>
          </w:p>
        </w:tc>
        <w:tc>
          <w:tcPr>
            <w:tcW w:type="dxa" w:w="19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w:t>
            </w:r>
          </w:p>
        </w:tc>
        <w:tc>
          <w:tcPr>
            <w:tcW w:type="dxa" w:w="18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w:t>
            </w:r>
          </w:p>
        </w:tc>
        <w:tc>
          <w:tcPr>
            <w:tcW w:type="dxa" w:w="11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w:t>
            </w:r>
          </w:p>
        </w:tc>
      </w:tr>
      <w:tr>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Exit meeting</w:t>
            </w:r>
          </w:p>
        </w:tc>
        <w:tc>
          <w:tcPr>
            <w:tcW w:type="dxa" w:w="1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R</w:t>
            </w:r>
          </w:p>
        </w:tc>
        <w:tc>
          <w:tcPr>
            <w:tcW w:type="dxa" w:w="19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w:t>
            </w:r>
          </w:p>
        </w:tc>
        <w:tc>
          <w:tcPr>
            <w:tcW w:type="dxa" w:w="18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w:t>
            </w:r>
          </w:p>
        </w:tc>
        <w:tc>
          <w:tcPr>
            <w:tcW w:type="dxa" w:w="11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I</w:t>
            </w:r>
          </w:p>
        </w:tc>
      </w:tr>
      <w:tr>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Final report distribution</w:t>
            </w:r>
          </w:p>
        </w:tc>
        <w:tc>
          <w:tcPr>
            <w:tcW w:type="dxa" w:w="1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w:t>
            </w:r>
          </w:p>
        </w:tc>
        <w:tc>
          <w:tcPr>
            <w:tcW w:type="dxa" w:w="19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I</w:t>
            </w:r>
          </w:p>
        </w:tc>
        <w:tc>
          <w:tcPr>
            <w:tcW w:type="dxa" w:w="18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w:t>
            </w:r>
          </w:p>
        </w:tc>
        <w:tc>
          <w:tcPr>
            <w:tcW w:type="dxa" w:w="11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I</w:t>
            </w:r>
          </w:p>
        </w:tc>
      </w:tr>
      <w:tr>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CAPA tracking</w:t>
            </w:r>
          </w:p>
        </w:tc>
        <w:tc>
          <w:tcPr>
            <w:tcW w:type="dxa" w:w="1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w:t>
            </w:r>
          </w:p>
        </w:tc>
        <w:tc>
          <w:tcPr>
            <w:tcW w:type="dxa" w:w="19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R</w:t>
            </w:r>
          </w:p>
        </w:tc>
        <w:tc>
          <w:tcPr>
            <w:tcW w:type="dxa" w:w="18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w:t>
            </w:r>
          </w:p>
        </w:tc>
        <w:tc>
          <w:tcPr>
            <w:tcW w:type="dxa" w:w="11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I</w:t>
            </w:r>
          </w:p>
        </w:tc>
      </w:tr>
      <w:tr>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Follow-up verification</w:t>
            </w:r>
          </w:p>
        </w:tc>
        <w:tc>
          <w:tcPr>
            <w:tcW w:type="dxa" w:w="1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R/A</w:t>
            </w:r>
          </w:p>
        </w:tc>
        <w:tc>
          <w:tcPr>
            <w:tcW w:type="dxa" w:w="19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w:t>
            </w:r>
          </w:p>
        </w:tc>
        <w:tc>
          <w:tcPr>
            <w:tcW w:type="dxa" w:w="18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I</w:t>
            </w:r>
          </w:p>
        </w:tc>
        <w:tc>
          <w:tcPr>
            <w:tcW w:type="dxa" w:w="11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w:t>
            </w:r>
          </w:p>
        </w:tc>
      </w:tr>
    </w:tbl>
    <w:p>
      <w:pPr>
        <w:pBdr>
          <w:left w:val="single" w:color="1F3864" w:sz="18" w:space="8"/>
        </w:pBdr>
        <w:spacing w:after="200" w:before="80"/>
      </w:pPr>
      <w:r>
        <w:rPr>
          <w:i/>
          <w:iCs/>
          <w:color w:val="44546A"/>
        </w:rPr>
        <w:t xml:space="preserve">R = Responsible, A = Accountable, C = Consulted, I = Informed.</w:t>
      </w:r>
    </w:p>
    <w:p>
      <w:pPr>
        <w:pStyle w:val="Heading1"/>
      </w:pPr>
      <w:r>
        <w:t xml:space="preserve">12.0 Audit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rPr>
          <w:tblHeader/>
        </w:trPr>
        <w:tc>
          <w:tcPr>
            <w:tcW w:type="dxa" w:w="28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Phase (SOP Step)</w:t>
            </w:r>
          </w:p>
        </w:tc>
        <w:tc>
          <w:tcPr>
            <w:tcW w:type="dxa" w:w="48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Activity</w:t>
            </w:r>
          </w:p>
        </w:tc>
        <w:tc>
          <w:tcPr>
            <w:tcW w:type="dxa" w:w="17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Target Duration</w:t>
            </w:r>
          </w:p>
        </w:tc>
      </w:tr>
      <w:tr>
        <w:tc>
          <w:tcPr>
            <w:tcW w:type="dxa" w:w="28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Step 1: Planning</w:t>
            </w:r>
          </w:p>
        </w:tc>
        <w:tc>
          <w:tcPr>
            <w:tcW w:type="dxa" w:w="48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Finalize scope, checklist (Appendix A), and this Audit Plan; notify HoD; nominate SME</w:t>
            </w:r>
          </w:p>
        </w:tc>
        <w:tc>
          <w:tcPr>
            <w:tcW w:type="dxa" w:w="17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[X days]</w:t>
            </w:r>
          </w:p>
        </w:tc>
      </w:tr>
      <w:tr>
        <w:tc>
          <w:tcPr>
            <w:tcW w:type="dxa" w:w="28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Step 2: Notification &amp; Entry Meeting</w:t>
            </w:r>
          </w:p>
        </w:tc>
        <w:tc>
          <w:tcPr>
            <w:tcW w:type="dxa" w:w="48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Formal kickoff with IT Operations and Risk</w:t>
            </w:r>
          </w:p>
        </w:tc>
        <w:tc>
          <w:tcPr>
            <w:tcW w:type="dxa" w:w="17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[X day]</w:t>
            </w:r>
          </w:p>
        </w:tc>
      </w:tr>
      <w:tr>
        <w:tc>
          <w:tcPr>
            <w:tcW w:type="dxa" w:w="28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Step 3: Information Request</w:t>
            </w:r>
          </w:p>
        </w:tc>
        <w:tc>
          <w:tcPr>
            <w:tcW w:type="dxa" w:w="48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Issue formal document/access request list, incl. Credit Policy documents</w:t>
            </w:r>
          </w:p>
        </w:tc>
        <w:tc>
          <w:tcPr>
            <w:tcW w:type="dxa" w:w="17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[X days]</w:t>
            </w:r>
          </w:p>
        </w:tc>
      </w:tr>
      <w:tr>
        <w:tc>
          <w:tcPr>
            <w:tcW w:type="dxa" w:w="28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Step 4a: Fieldwork – Technical</w:t>
            </w:r>
          </w:p>
        </w:tc>
        <w:tc>
          <w:tcPr>
            <w:tcW w:type="dxa" w:w="48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Configuration review, log sampling, interviews</w:t>
            </w:r>
          </w:p>
        </w:tc>
        <w:tc>
          <w:tcPr>
            <w:tcW w:type="dxa" w:w="17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[X days]</w:t>
            </w:r>
          </w:p>
        </w:tc>
      </w:tr>
      <w:tr>
        <w:tc>
          <w:tcPr>
            <w:tcW w:type="dxa" w:w="28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Step 4b: Fieldwork – Business Logic</w:t>
            </w:r>
          </w:p>
        </w:tc>
        <w:tc>
          <w:tcPr>
            <w:tcW w:type="dxa" w:w="48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Workflow/authorization testing and correctness re-performance with SME</w:t>
            </w:r>
          </w:p>
        </w:tc>
        <w:tc>
          <w:tcPr>
            <w:tcW w:type="dxa" w:w="17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[X days]</w:t>
            </w:r>
          </w:p>
        </w:tc>
      </w:tr>
      <w:tr>
        <w:tc>
          <w:tcPr>
            <w:tcW w:type="dxa" w:w="28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Step 5: Testing &amp; Scoring</w:t>
            </w:r>
          </w:p>
        </w:tc>
        <w:tc>
          <w:tcPr>
            <w:tcW w:type="dxa" w:w="48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Apply Appendix A checklist and score each item</w:t>
            </w:r>
          </w:p>
        </w:tc>
        <w:tc>
          <w:tcPr>
            <w:tcW w:type="dxa" w:w="17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[X days]</w:t>
            </w:r>
          </w:p>
        </w:tc>
      </w:tr>
      <w:tr>
        <w:tc>
          <w:tcPr>
            <w:tcW w:type="dxa" w:w="28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Step 6: Findings Development</w:t>
            </w:r>
          </w:p>
        </w:tc>
        <w:tc>
          <w:tcPr>
            <w:tcW w:type="dxa" w:w="48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Draft findings with evidence and root cause</w:t>
            </w:r>
          </w:p>
        </w:tc>
        <w:tc>
          <w:tcPr>
            <w:tcW w:type="dxa" w:w="17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[X days]</w:t>
            </w:r>
          </w:p>
        </w:tc>
      </w:tr>
      <w:tr>
        <w:tc>
          <w:tcPr>
            <w:tcW w:type="dxa" w:w="28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Step 7: Exit Meeting</w:t>
            </w:r>
          </w:p>
        </w:tc>
        <w:tc>
          <w:tcPr>
            <w:tcW w:type="dxa" w:w="48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Present findings to IT Operations and Risk/SME for validation</w:t>
            </w:r>
          </w:p>
        </w:tc>
        <w:tc>
          <w:tcPr>
            <w:tcW w:type="dxa" w:w="17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[X day]</w:t>
            </w:r>
          </w:p>
        </w:tc>
      </w:tr>
      <w:tr>
        <w:tc>
          <w:tcPr>
            <w:tcW w:type="dxa" w:w="28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Step 8: Reporting</w:t>
            </w:r>
          </w:p>
        </w:tc>
        <w:tc>
          <w:tcPr>
            <w:tcW w:type="dxa" w:w="48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Issue final report to distribution list</w:t>
            </w:r>
          </w:p>
        </w:tc>
        <w:tc>
          <w:tcPr>
            <w:tcW w:type="dxa" w:w="17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[X days]</w:t>
            </w:r>
          </w:p>
        </w:tc>
      </w:tr>
      <w:tr>
        <w:tc>
          <w:tcPr>
            <w:tcW w:type="dxa" w:w="28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Step 9–10: CAPA &amp; Follow-up</w:t>
            </w:r>
          </w:p>
        </w:tc>
        <w:tc>
          <w:tcPr>
            <w:tcW w:type="dxa" w:w="48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Track corrective actions through closure</w:t>
            </w:r>
          </w:p>
        </w:tc>
        <w:tc>
          <w:tcPr>
            <w:tcW w:type="dxa" w:w="17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[Per CAPA tracker]</w:t>
            </w:r>
          </w:p>
        </w:tc>
      </w:tr>
    </w:tbl>
    <w:p>
      <w:pPr>
        <w:pStyle w:val="Heading1"/>
      </w:pPr>
      <w:r>
        <w:t xml:space="preserve">13.0 Risk Rating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Rating</w:t>
            </w:r>
          </w:p>
        </w:tc>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Definition</w:t>
            </w:r>
          </w:p>
        </w:tc>
        <w:tc>
          <w:tcPr>
            <w:tcW w:type="dxa" w:w="37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Indicative Example</w:t>
            </w:r>
          </w:p>
        </w:tc>
      </w:tr>
      <w:tr>
        <w:tc>
          <w:tcPr>
            <w:tcW w:type="dxa" w:w="14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Critical</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Immediate risk of significant data breach, system compromise, or unauthorized fund movement; requires urgent action</w:t>
            </w:r>
          </w:p>
        </w:tc>
        <w:tc>
          <w:tcPr>
            <w:tcW w:type="dxa" w:w="37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Publicly accessible cloud storage with borrower data; or successful self-approval/duplicate-disbursement bypass during testing</w:t>
            </w:r>
          </w:p>
        </w:tc>
      </w:tr>
      <w:tr>
        <w:tc>
          <w:tcPr>
            <w:tcW w:type="dxa" w:w="14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High</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Significant control weakness with realistic exploitation path</w:t>
            </w:r>
          </w:p>
        </w:tc>
        <w:tc>
          <w:tcPr>
            <w:tcW w:type="dxa" w:w="37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No MFA on privileged/admin LMS accounts; loan amount tampering accepted by the API without server-side validation</w:t>
            </w:r>
          </w:p>
        </w:tc>
      </w:tr>
      <w:tr>
        <w:tc>
          <w:tcPr>
            <w:tcW w:type="dxa" w:w="14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Medium</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Control weakness with limited exploitation likelihood or impact</w:t>
            </w:r>
          </w:p>
        </w:tc>
        <w:tc>
          <w:tcPr>
            <w:tcW w:type="dxa" w:w="37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Password policy below good-practice minimums but MFA present; minor recalculation variance within rounding tolerance</w:t>
            </w:r>
          </w:p>
        </w:tc>
      </w:tr>
      <w:tr>
        <w:tc>
          <w:tcPr>
            <w:tcW w:type="dxa" w:w="14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Low</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Minor deviation from best practice with negligible risk</w:t>
            </w:r>
          </w:p>
        </w:tc>
        <w:tc>
          <w:tcPr>
            <w:tcW w:type="dxa" w:w="37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Incomplete documentation of an otherwise effective control</w:t>
            </w:r>
          </w:p>
        </w:tc>
      </w:tr>
    </w:tbl>
    <w:p>
      <w:pPr>
        <w:pStyle w:val="Heading1"/>
      </w:pPr>
      <w:r>
        <w:t xml:space="preserve">14.0 Reporting &amp; Distribution</w:t>
      </w:r>
    </w:p>
    <w:p>
      <w:pPr>
        <w:spacing w:after="160"/>
      </w:pPr>
      <w:r>
        <w:t xml:space="preserve">The final report will follow the SOP 4.8 structure: Executive Summary, Audit Scope, Findings, Risk Rating, Scores, and CAPA. Distribution will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Recipient</w:t>
            </w:r>
          </w:p>
        </w:tc>
        <w:tc>
          <w:tcPr>
            <w:tcW w:type="dxa" w:w="48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Purpose</w:t>
            </w:r>
          </w:p>
        </w:tc>
      </w:tr>
      <w:tr>
        <w:tc>
          <w:tcPr>
            <w:tcW w:type="dxa" w:w="4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Clifford Isaboke (IT Operations)</w:t>
            </w:r>
          </w:p>
        </w:tc>
        <w:tc>
          <w:tcPr>
            <w:tcW w:type="dxa" w:w="48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Action on findings within IT Operations' control</w:t>
            </w:r>
          </w:p>
        </w:tc>
      </w:tr>
      <w:tr>
        <w:tc>
          <w:tcPr>
            <w:tcW w:type="dxa" w:w="4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Annita Juma (Risk &amp; Compliance)</w:t>
            </w:r>
          </w:p>
        </w:tc>
        <w:tc>
          <w:tcPr>
            <w:tcW w:type="dxa" w:w="48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Monitoring, CAPA tracking, and business logic correctness sign-off</w:t>
            </w:r>
          </w:p>
        </w:tc>
      </w:tr>
      <w:tr>
        <w:tc>
          <w:tcPr>
            <w:tcW w:type="dxa" w:w="45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Executive</w:t>
            </w:r>
          </w:p>
        </w:tc>
        <w:tc>
          <w:tcPr>
            <w:tcW w:type="dxa" w:w="48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Oversight</w:t>
            </w:r>
          </w:p>
        </w:tc>
      </w:tr>
      <w:tr>
        <w:tc>
          <w:tcPr>
            <w:tcW w:type="dxa" w:w="45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Board (if required by severity)</w:t>
            </w:r>
          </w:p>
        </w:tc>
        <w:tc>
          <w:tcPr>
            <w:tcW w:type="dxa" w:w="48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Governance, per SOP 4.8 distribution table</w:t>
            </w:r>
          </w:p>
        </w:tc>
      </w:tr>
    </w:tbl>
    <w:p>
      <w:pPr>
        <w:pStyle w:val="Heading1"/>
      </w:pPr>
      <w:r>
        <w:t xml:space="preserve">15.0 CAPA &amp; Follow-Up</w:t>
      </w:r>
    </w:p>
    <w:p>
      <w:pPr>
        <w:spacing w:after="160"/>
      </w:pPr>
      <w:r>
        <w:t xml:space="preserve">Per SOP 4.9–4.10, every finding raised in this audit — including business logic security and correctness findings — will be logged in the Risk-maintained CAPA tracker with a corrective action, preventive action, owner, and timeline. No finding will be closed without verified evidence of remediation (e.g., re-tested workflow control, re-performed calculation, updated scan result).</w:t>
      </w:r>
    </w:p>
    <w:p>
      <w:pPr>
        <w:pStyle w:val="Heading1"/>
      </w:pPr>
      <w:r>
        <w:t xml:space="preserve">16.0 Confidentiality, Data Handling &amp; Evidence Custody</w:t>
      </w:r>
    </w:p>
    <w:p>
      <w:pPr>
        <w:pStyle w:val="ListParagraph"/>
        <w:numPr>
          <w:ilvl w:val="0"/>
          <w:numId w:val="2"/>
        </w:numPr>
        <w:spacing w:after="60"/>
      </w:pPr>
      <w:r>
        <w:t xml:space="preserve">All evidence collected (screenshots, log extracts, configuration exports, recalculation worksheets) will be stored in a restricted, access-controlled audit evidence file.</w:t>
      </w:r>
    </w:p>
    <w:p>
      <w:pPr>
        <w:pStyle w:val="ListParagraph"/>
        <w:numPr>
          <w:ilvl w:val="0"/>
          <w:numId w:val="2"/>
        </w:numPr>
        <w:spacing w:after="60"/>
      </w:pPr>
      <w:r>
        <w:t xml:space="preserve">Any borrower personal or financial data encountered during evidence collection will be handled per the Data Protection Act, 2019, and redacted in the final report where full detail is not necessary to support a finding.</w:t>
      </w:r>
    </w:p>
    <w:p>
      <w:pPr>
        <w:pStyle w:val="ListParagraph"/>
        <w:numPr>
          <w:ilvl w:val="0"/>
          <w:numId w:val="2"/>
        </w:numPr>
        <w:spacing w:after="60"/>
      </w:pPr>
      <w:r>
        <w:t xml:space="preserve">Business logic security testing will use test/sandbox accounts and synthetic data wherever available, to avoid creating real financial obligations.</w:t>
      </w:r>
    </w:p>
    <w:p>
      <w:pPr>
        <w:pStyle w:val="ListParagraph"/>
        <w:numPr>
          <w:ilvl w:val="0"/>
          <w:numId w:val="2"/>
        </w:numPr>
        <w:spacing w:after="60"/>
      </w:pPr>
      <w:r>
        <w:t xml:space="preserve">Evidence will be retained per the Demulla audit documentation retention requirements (SOP Section 7.0).</w:t>
      </w:r>
    </w:p>
    <w:p>
      <w:pPr>
        <w:pStyle w:val="Heading1"/>
      </w:pPr>
      <w:r>
        <w:t xml:space="preserve">17.0 Independence &amp; Conflict of Interest Declaration</w:t>
      </w:r>
    </w:p>
    <w:p>
      <w:pPr>
        <w:spacing w:after="160"/>
      </w:pPr>
      <w:r>
        <w:t xml:space="preserve">The Lead Auditor confirms no involvement in the design, development, configuration, or administration of the LMS or its supporting infrastructure, and will not audit any control for which they hold operational responsibility, consistent with SOP Section 3.2. For the business logic correctness review (Domain 14), final interpretation of policy correctness rests with the nominated Risk/Finance SME, not the cybersecurity auditor, to preserve appropriate domain ownership.</w:t>
      </w:r>
    </w:p>
    <w:p>
      <w:pPr>
        <w:pStyle w:val="Heading1"/>
      </w:pPr>
      <w:r>
        <w:t xml:space="preserve">18.0 Approval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Role</w:t>
            </w:r>
          </w:p>
        </w:tc>
        <w:tc>
          <w:tcPr>
            <w:tcW w:type="dxa" w:w="24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Name</w:t>
            </w:r>
          </w:p>
        </w:tc>
        <w:tc>
          <w:tcPr>
            <w:tcW w:type="dxa" w:w="228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Signature</w:t>
            </w:r>
          </w:p>
        </w:tc>
        <w:tc>
          <w:tcPr>
            <w:tcW w:type="dxa" w:w="228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Date</w:t>
            </w:r>
          </w:p>
        </w:tc>
      </w:tr>
      <w:tr>
        <w:tc>
          <w:tcPr>
            <w:tcW w:type="dxa" w:w="24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Lead Auditor</w:t>
            </w:r>
          </w:p>
        </w:tc>
        <w:tc>
          <w:tcPr>
            <w:tcW w:type="dxa" w:w="24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Samwel</w:t>
            </w:r>
          </w:p>
        </w:tc>
        <w:tc>
          <w:tcPr>
            <w:tcW w:type="dxa" w:w="228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c>
          <w:tcPr>
            <w:tcW w:type="dxa" w:w="228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24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Head of IT Operations</w:t>
            </w:r>
          </w:p>
        </w:tc>
        <w:tc>
          <w:tcPr>
            <w:tcW w:type="dxa" w:w="24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Clifford Isaboke</w:t>
            </w:r>
          </w:p>
        </w:tc>
        <w:tc>
          <w:tcPr>
            <w:tcW w:type="dxa" w:w="228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c>
          <w:tcPr>
            <w:tcW w:type="dxa" w:w="228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24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Head of Risk Management</w:t>
            </w:r>
          </w:p>
        </w:tc>
        <w:tc>
          <w:tcPr>
            <w:tcW w:type="dxa" w:w="24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Annita Juma</w:t>
            </w:r>
          </w:p>
        </w:tc>
        <w:tc>
          <w:tcPr>
            <w:tcW w:type="dxa" w:w="228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c>
          <w:tcPr>
            <w:tcW w:type="dxa" w:w="228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bl>
    <w:p>
      <w:r>
        <w:br w:type="page"/>
      </w:r>
    </w:p>
    <w:p>
      <w:pPr>
        <w:pStyle w:val="Heading1"/>
      </w:pPr>
      <w:r>
        <w:t xml:space="preserve">Appendix A: Detailed Audit Checklist</w:t>
      </w:r>
    </w:p>
    <w:p>
      <w:pPr>
        <w:spacing w:after="160"/>
      </w:pPr>
      <w:r>
        <w:t xml:space="preserve">Scoring: 2 = Compliant, 1 = Partial, 0 = Non-compliant. To be completed during SOP Step 5 (Audit Testing &amp; Scoring), with evidence references retained per item.</w:t>
      </w:r>
    </w:p>
    <w:p>
      <w:pPr>
        <w:pStyle w:val="Heading2"/>
      </w:pPr>
      <w:r>
        <w:t xml:space="preserve">A1. Identity &amp; Access Management (IAM)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000"/>
        <w:gridCol w:w="1460"/>
      </w:tblGrid>
      <w:tr>
        <w:trPr>
          <w:tblHeader/>
        </w:trPr>
        <w:tc>
          <w:tcPr>
            <w:tcW w:type="dxa" w:w="7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ID</w:t>
            </w:r>
          </w:p>
        </w:tc>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Control / Test Objective</w:t>
            </w:r>
          </w:p>
        </w:tc>
        <w:tc>
          <w:tcPr>
            <w:tcW w:type="dxa" w:w="30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Expected Evidence</w:t>
            </w:r>
          </w:p>
        </w:tc>
        <w:tc>
          <w:tcPr>
            <w:tcW w:type="dxa" w:w="14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Score</w:t>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1.1</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Formal access request/approval process exists for LMS access provisioning</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Approved access request forms/tickets</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1.2</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De-provisioning of LMS access occurs within defined SLA upon staff exit or role change</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Leaver list cross-referenced with access removal timestamps</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1.3</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 role-based access control (RBAC) matrix exists and matches actual configured permissions</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Documented matrix vs. system role export</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1.4</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Segregation of duties is enforced between loan initiation, approval, and disbursement roles</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Role/permission configuration screenshot</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1.5</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Privileged/admin accounts are limited to a documented, justified list of users</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Privileged account list with business justification</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1.6</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 periodic (e.g., quarterly) access review is performed and evidenced</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Signed-off access review record</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1.7</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Shared/generic administrative accounts are not used, or are compensating-controlled if unavoidable</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Account inventory; compensating control evidence if applicable</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1.8</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Third-party/vendor access to the LMS is time-bound, justified, and logged</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Vendor access log/ticket records</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bl>
    <w:p>
      <w:pPr>
        <w:pStyle w:val="Heading2"/>
      </w:pPr>
      <w:r>
        <w:t xml:space="preserve">A2. Authentication &amp; Session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000"/>
        <w:gridCol w:w="1460"/>
      </w:tblGrid>
      <w:tr>
        <w:trPr>
          <w:tblHeader/>
        </w:trPr>
        <w:tc>
          <w:tcPr>
            <w:tcW w:type="dxa" w:w="7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ID</w:t>
            </w:r>
          </w:p>
        </w:tc>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Control / Test Objective</w:t>
            </w:r>
          </w:p>
        </w:tc>
        <w:tc>
          <w:tcPr>
            <w:tcW w:type="dxa" w:w="30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Expected Evidence</w:t>
            </w:r>
          </w:p>
        </w:tc>
        <w:tc>
          <w:tcPr>
            <w:tcW w:type="dxa" w:w="14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Score</w:t>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2.1</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Password policy meets defined minimum standards (length, complexity, expiry)</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Password policy configuration export</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2.2</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MFA is enforced for all privileged/admin LMS accounts</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MFA configuration screenshot/policy</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2.3</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MFA is enforced for remote access to the LMS environment</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VPN/remote access MFA configuration</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2.4</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Session timeout / auto-lockout is configured after a defined period of inactivity</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Session configuration screenshot</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2.5</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Account lockout threshold is configured after repeated failed login attempts</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Lockout policy configuration screenshot</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2.6</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Default/vendor credentials have been changed on all LMS-related systems</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Credential change confirmation/attestation</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bl>
    <w:p>
      <w:pPr>
        <w:pStyle w:val="Heading2"/>
      </w:pPr>
      <w:r>
        <w:t xml:space="preserve">A3. Network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000"/>
        <w:gridCol w:w="1460"/>
      </w:tblGrid>
      <w:tr>
        <w:trPr>
          <w:tblHeader/>
        </w:trPr>
        <w:tc>
          <w:tcPr>
            <w:tcW w:type="dxa" w:w="7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ID</w:t>
            </w:r>
          </w:p>
        </w:tc>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Control / Test Objective</w:t>
            </w:r>
          </w:p>
        </w:tc>
        <w:tc>
          <w:tcPr>
            <w:tcW w:type="dxa" w:w="30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Expected Evidence</w:t>
            </w:r>
          </w:p>
        </w:tc>
        <w:tc>
          <w:tcPr>
            <w:tcW w:type="dxa" w:w="14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Score</w:t>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3.1</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Firewall rules restrict access to LMS components to authorized sources only</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Firewall rule export</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3.2</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The LMS environment is segmented from the general corporate network / other systems</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Network architecture diagram and VLAN/subnet config</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3.3</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Remote access to the LMS environment requires VPN with strong authentication</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VPN configuration and authentication method</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3.4</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No unnecessary ports/services are exposed on LMS-supporting servers</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Port/service scan output or configuration review</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3.5</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Network diagrams are current and reflect actual LMS architecture</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Diagram dated within review period, validated against live config</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3.6</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Wireless networks used to access the LMS (if any) are secured per policy</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Wireless security configuration</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bl>
    <w:p>
      <w:pPr>
        <w:pStyle w:val="Heading2"/>
      </w:pPr>
      <w:r>
        <w:t xml:space="preserve">A4. Data Protection &amp;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000"/>
        <w:gridCol w:w="1460"/>
      </w:tblGrid>
      <w:tr>
        <w:trPr>
          <w:tblHeader/>
        </w:trPr>
        <w:tc>
          <w:tcPr>
            <w:tcW w:type="dxa" w:w="7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ID</w:t>
            </w:r>
          </w:p>
        </w:tc>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Control / Test Objective</w:t>
            </w:r>
          </w:p>
        </w:tc>
        <w:tc>
          <w:tcPr>
            <w:tcW w:type="dxa" w:w="30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Expected Evidence</w:t>
            </w:r>
          </w:p>
        </w:tc>
        <w:tc>
          <w:tcPr>
            <w:tcW w:type="dxa" w:w="14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Score</w:t>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4.1</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Data in transit to/from the LMS is encrypted using an acceptable TLS version</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TLS configuration / certificate inspection</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4.2</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Data at rest (database/storage) is encrypted</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Database/storage encryption configuration</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4.3</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Encryption keys are managed and rotated per a defined process</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Key management policy/log</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4.4</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Sensitive borrower data fields are masked/restricted in non-production environments</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Non-production data sample / masking configuration</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4.5</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Data retention and secure disposal practices align with the Data Protection Act, 2019</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Retention/disposal policy and evidence of execution</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4.6</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Export/download of bulk borrower data from the LMS is controlled and logged</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Export feature configuration and log sample</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bl>
    <w:p>
      <w:pPr>
        <w:pStyle w:val="Heading2"/>
      </w:pPr>
      <w:r>
        <w:t xml:space="preserve">A5. Logging, Monitoring &amp; Audit Trails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000"/>
        <w:gridCol w:w="1460"/>
      </w:tblGrid>
      <w:tr>
        <w:trPr>
          <w:tblHeader/>
        </w:trPr>
        <w:tc>
          <w:tcPr>
            <w:tcW w:type="dxa" w:w="7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ID</w:t>
            </w:r>
          </w:p>
        </w:tc>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Control / Test Objective</w:t>
            </w:r>
          </w:p>
        </w:tc>
        <w:tc>
          <w:tcPr>
            <w:tcW w:type="dxa" w:w="30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Expected Evidence</w:t>
            </w:r>
          </w:p>
        </w:tc>
        <w:tc>
          <w:tcPr>
            <w:tcW w:type="dxa" w:w="14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Score</w:t>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5.1</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Security-relevant events (logins, privilege changes, data exports) are logged</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Logging configuration and sample log entries</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5.2</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Logs are centrally stored and protected from unauthorized modification/deletion</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Log storage/access control configuration</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5.3</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Log retention period meets policy/regulatory minimums</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Retention configuration</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5.4</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Alerting/monitoring exists for anomalous activity (e.g., repeated failed logins, after-hours admin access)</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Alert rule configuration / sample alert</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5.5</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Access to logs is restricted to authorized personnel only</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Log access permission list</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5.6</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Sample log review confirms logging is operating as configured in practice</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Auditor-reviewed log extract matching a known test event</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bl>
    <w:p>
      <w:pPr>
        <w:pStyle w:val="Heading2"/>
      </w:pPr>
      <w:r>
        <w:t xml:space="preserve">A6. Vulnerability &amp; Patch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000"/>
        <w:gridCol w:w="1460"/>
      </w:tblGrid>
      <w:tr>
        <w:trPr>
          <w:tblHeader/>
        </w:trPr>
        <w:tc>
          <w:tcPr>
            <w:tcW w:type="dxa" w:w="7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ID</w:t>
            </w:r>
          </w:p>
        </w:tc>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Control / Test Objective</w:t>
            </w:r>
          </w:p>
        </w:tc>
        <w:tc>
          <w:tcPr>
            <w:tcW w:type="dxa" w:w="30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Expected Evidence</w:t>
            </w:r>
          </w:p>
        </w:tc>
        <w:tc>
          <w:tcPr>
            <w:tcW w:type="dxa" w:w="14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Score</w:t>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6.1</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 documented patch management process exists for OS/DB/middleware supporting the LMS</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Patch management procedure document</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6.2</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 vulnerability scan exists and is reasonably current</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Latest scan report with date</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6.3</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Critical/high vulnerabilities from the last scan have been remediated or have a documented exception</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Remediation tracker / exception approval</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6.4</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Patch levels reviewed are consistent with vendor security advisories</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Patch level export vs. advisory comparison</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6.5</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 penetration test of the LMS or its environment has been performed within a defined cycle</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Penetration test report</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6.6</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Vulnerability remediation is tracked to closure with evidence</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Closure evidence (re-scan, configuration change)</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bl>
    <w:p>
      <w:pPr>
        <w:pStyle w:val="Heading2"/>
      </w:pPr>
      <w:r>
        <w:t xml:space="preserve">A7. Backup, Recovery &amp; Business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000"/>
        <w:gridCol w:w="1460"/>
      </w:tblGrid>
      <w:tr>
        <w:trPr>
          <w:tblHeader/>
        </w:trPr>
        <w:tc>
          <w:tcPr>
            <w:tcW w:type="dxa" w:w="7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ID</w:t>
            </w:r>
          </w:p>
        </w:tc>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Control / Test Objective</w:t>
            </w:r>
          </w:p>
        </w:tc>
        <w:tc>
          <w:tcPr>
            <w:tcW w:type="dxa" w:w="30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Expected Evidence</w:t>
            </w:r>
          </w:p>
        </w:tc>
        <w:tc>
          <w:tcPr>
            <w:tcW w:type="dxa" w:w="14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Score</w:t>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7.1</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LMS data backups are performed on a defined, documented schedule</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Backup job schedule/logs</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7.2</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Backups are encrypted and stored separately from production, including an offsite/offline copy</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Backup encryption and storage location evidence</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7.3</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 restore test has been performed and evidenced within a defined period</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Restore test report</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7.4</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 Disaster Recovery / Business Continuity Plan exists covering the LMS</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DR/BCP document</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7.5</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RTO/RPO are defined and have been tested against</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Test result vs. defined RTO/RPO</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bl>
    <w:p>
      <w:pPr>
        <w:pStyle w:val="Heading2"/>
      </w:pPr>
      <w:r>
        <w:t xml:space="preserve">A8. Cloud &amp; Third-Party / Vendor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000"/>
        <w:gridCol w:w="1460"/>
      </w:tblGrid>
      <w:tr>
        <w:trPr>
          <w:tblHeader/>
        </w:trPr>
        <w:tc>
          <w:tcPr>
            <w:tcW w:type="dxa" w:w="7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ID</w:t>
            </w:r>
          </w:p>
        </w:tc>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Control / Test Objective</w:t>
            </w:r>
          </w:p>
        </w:tc>
        <w:tc>
          <w:tcPr>
            <w:tcW w:type="dxa" w:w="30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Expected Evidence</w:t>
            </w:r>
          </w:p>
        </w:tc>
        <w:tc>
          <w:tcPr>
            <w:tcW w:type="dxa" w:w="14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Score</w:t>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8.1</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Cloud storage (e.g., AWS S3) used by the LMS is not publicly accessible</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Bucket policy / public access block configuration</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8.2</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Cloud storage access is governed by least-privilege IAM policies</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IAM policy export</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8.3</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Versioning/logging is enabled on cloud storage holding LMS data</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Bucket configuration screenshot</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8.4</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Vendors/third parties supporting the LMS have a current security assessment or attestation on file</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Vendor assessment/attestation document</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8.5</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Contracts/SLAs with LMS-related vendors include security and breach-notification obligations</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Contract/SLA clause extract</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8.6</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Sub-processors (if any) handling LMS data have been identified and assessed</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Sub-processor register</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bl>
    <w:p>
      <w:pPr>
        <w:pStyle w:val="Heading2"/>
      </w:pPr>
      <w:r>
        <w:t xml:space="preserve">A9. Change Management (Security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000"/>
        <w:gridCol w:w="1460"/>
      </w:tblGrid>
      <w:tr>
        <w:trPr>
          <w:tblHeader/>
        </w:trPr>
        <w:tc>
          <w:tcPr>
            <w:tcW w:type="dxa" w:w="7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ID</w:t>
            </w:r>
          </w:p>
        </w:tc>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Control / Test Objective</w:t>
            </w:r>
          </w:p>
        </w:tc>
        <w:tc>
          <w:tcPr>
            <w:tcW w:type="dxa" w:w="30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Expected Evidence</w:t>
            </w:r>
          </w:p>
        </w:tc>
        <w:tc>
          <w:tcPr>
            <w:tcW w:type="dxa" w:w="14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Score</w:t>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9.1</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 documented change management process requires approval before production deployment</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Change management procedure and sample approved change</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9.2</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Security review/sign-off is required for changes affecting authentication, access control, or data handling</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Sample change record with security sign-off</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9.3</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Developers do not have direct, unsupervised access to the production LMS environment/database</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Production access list cross-referenced with developer roster</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9.4</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Emergency change procedures, if used, are still logged and retrospectively reviewed</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Emergency change log and review record</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bl>
    <w:p>
      <w:pPr>
        <w:pStyle w:val="Heading2"/>
      </w:pPr>
      <w:r>
        <w:t xml:space="preserve">A10. Security Incident Response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000"/>
        <w:gridCol w:w="1460"/>
      </w:tblGrid>
      <w:tr>
        <w:trPr>
          <w:tblHeader/>
        </w:trPr>
        <w:tc>
          <w:tcPr>
            <w:tcW w:type="dxa" w:w="7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ID</w:t>
            </w:r>
          </w:p>
        </w:tc>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Control / Test Objective</w:t>
            </w:r>
          </w:p>
        </w:tc>
        <w:tc>
          <w:tcPr>
            <w:tcW w:type="dxa" w:w="30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Expected Evidence</w:t>
            </w:r>
          </w:p>
        </w:tc>
        <w:tc>
          <w:tcPr>
            <w:tcW w:type="dxa" w:w="14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Score</w:t>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10.1</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 documented Incident Response Plan exists covering LMS-related security incidents</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IR Plan document</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10.2</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Roles and escalation paths for a security incident are defined and communicated</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IR Plan roles/escalation section; communication record</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10.3</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The IR plan has been tested (tabletop or live exercise) within a defined period</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Exercise report</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10.4</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Breach notification procedures align with Data Protection Act, 2019 timelines</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Notification procedure document</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10.5</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 lessons-learned process exists for any past LMS-related security incidents</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Post-incident review record, if applicable</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bl>
    <w:p>
      <w:pPr>
        <w:pStyle w:val="Heading2"/>
      </w:pPr>
      <w:r>
        <w:t xml:space="preserve">A11. API &amp; Integration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000"/>
        <w:gridCol w:w="1460"/>
      </w:tblGrid>
      <w:tr>
        <w:trPr>
          <w:tblHeader/>
        </w:trPr>
        <w:tc>
          <w:tcPr>
            <w:tcW w:type="dxa" w:w="7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ID</w:t>
            </w:r>
          </w:p>
        </w:tc>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Control / Test Objective</w:t>
            </w:r>
          </w:p>
        </w:tc>
        <w:tc>
          <w:tcPr>
            <w:tcW w:type="dxa" w:w="30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Expected Evidence</w:t>
            </w:r>
          </w:p>
        </w:tc>
        <w:tc>
          <w:tcPr>
            <w:tcW w:type="dxa" w:w="14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Score</w:t>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11.1</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All LMS APIs/integrations require authentication (no anonymous access)</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API authentication configuration</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11.2</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Authorization checks are enforced server-side on API endpoints</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Test result confirming server-side enforcement</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11.3</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Rate limiting / throttling is in place to mitigate abuse</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Rate-limit configuration</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11.4</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API keys/secrets are not hardcoded or exposed in client-accessible configuration</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Configuration/asset review</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11.5</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Input validation is enforced on API requests affecting financial fields (amount, rate, dates)</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Test result with rejected malformed input</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bl>
    <w:p>
      <w:pPr>
        <w:pStyle w:val="Heading2"/>
      </w:pPr>
      <w:r>
        <w:t xml:space="preserve">A12. Physical &amp; Environmental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000"/>
        <w:gridCol w:w="1460"/>
      </w:tblGrid>
      <w:tr>
        <w:trPr>
          <w:tblHeader/>
        </w:trPr>
        <w:tc>
          <w:tcPr>
            <w:tcW w:type="dxa" w:w="7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ID</w:t>
            </w:r>
          </w:p>
        </w:tc>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Control / Test Objective</w:t>
            </w:r>
          </w:p>
        </w:tc>
        <w:tc>
          <w:tcPr>
            <w:tcW w:type="dxa" w:w="30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Expected Evidence</w:t>
            </w:r>
          </w:p>
        </w:tc>
        <w:tc>
          <w:tcPr>
            <w:tcW w:type="dxa" w:w="14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Score</w:t>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12.1</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Hosting location (data center or cloud provider) has documented physical access controls</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Provider documentation / site access policy</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12.2</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Environmental controls (fire suppression, power redundancy) are documented or attested by the provider</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Provider attestation</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12.3</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Physical access to any on-premises servers supporting the LMS is restricted and logged</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Access log / server room access list</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12.4</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Cloud provider compliance attestations (e.g., ISO 27001, SOC 2) are on file, where applicable</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Attestation/certificate copy</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bl>
    <w:p>
      <w:pPr>
        <w:pStyle w:val="Heading2"/>
      </w:pPr>
      <w:r>
        <w:t xml:space="preserve">A13. Business Logic Security Testing (Workflow &amp; Authorization Abuse)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000"/>
        <w:gridCol w:w="1460"/>
      </w:tblGrid>
      <w:tr>
        <w:trPr>
          <w:tblHeader/>
        </w:trPr>
        <w:tc>
          <w:tcPr>
            <w:tcW w:type="dxa" w:w="7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ID</w:t>
            </w:r>
          </w:p>
        </w:tc>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Control / Test Objective</w:t>
            </w:r>
          </w:p>
        </w:tc>
        <w:tc>
          <w:tcPr>
            <w:tcW w:type="dxa" w:w="30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Expected Evidence</w:t>
            </w:r>
          </w:p>
        </w:tc>
        <w:tc>
          <w:tcPr>
            <w:tcW w:type="dxa" w:w="14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Score</w:t>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13.1</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 user cannot approve a loan they themselves initiated (self-approval blocked)</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Test result: self-approval attempt rejected</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13.2</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Direct API modification of loan amount/interest/term, bypassing the UI workflow, is rejected server-side</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Test result: tampered request rejected</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13.3</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Resubmitting/replaying a disbursement request does not result in duplicate disbursement</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Test result: replay attempt blocked or deduplicated</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13.4</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Attempting to access/modify another borrower's loan record via identifier manipulation (IDOR) is blocked</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Test result: IDOR attempt rejected</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13.5</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Application-enforced SoD matches the documented role matrix under live testing</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Test result vs. role matrix (Item 1.3)</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13.6</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Negative, zero, or out-of-range values for loan amount/term are rejected by the system</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Test result: invalid input rejected</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bl>
    <w:p>
      <w:pPr>
        <w:pStyle w:val="Heading2"/>
      </w:pPr>
      <w:r>
        <w:t xml:space="preserve">A14. Business Logic / Policy Correctness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000"/>
        <w:gridCol w:w="1460"/>
      </w:tblGrid>
      <w:tr>
        <w:trPr>
          <w:tblHeader/>
        </w:trPr>
        <w:tc>
          <w:tcPr>
            <w:tcW w:type="dxa" w:w="7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ID</w:t>
            </w:r>
          </w:p>
        </w:tc>
        <w:tc>
          <w:tcPr>
            <w:tcW w:type="dxa" w:w="42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Control / Test Objective</w:t>
            </w:r>
          </w:p>
        </w:tc>
        <w:tc>
          <w:tcPr>
            <w:tcW w:type="dxa" w:w="300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Expected Evidence</w:t>
            </w:r>
          </w:p>
        </w:tc>
        <w:tc>
          <w:tcPr>
            <w:tcW w:type="dxa" w:w="1460"/>
            <w:tcBorders>
              <w:top w:val="single" w:color="C9CDD3" w:sz="1"/>
              <w:left w:val="single" w:color="C9CDD3" w:sz="1"/>
              <w:bottom w:val="single" w:color="C9CDD3" w:sz="1"/>
              <w:right w:val="single" w:color="C9CDD3" w:sz="1"/>
            </w:tcBorders>
            <w:shd w:fill="1F3864" w:val="clear"/>
            <w:tcMar>
              <w:top w:type="dxa" w:w="70"/>
              <w:left w:type="dxa" w:w="110"/>
              <w:bottom w:type="dxa" w:w="70"/>
              <w:right w:type="dxa" w:w="110"/>
            </w:tcMar>
            <w:vAlign w:val="center"/>
          </w:tcPr>
          <w:p>
            <w:pPr>
              <w:jc w:val="left"/>
            </w:pPr>
            <w:r>
              <w:rPr>
                <w:b/>
                <w:bCs/>
                <w:color w:val="FFFFFF"/>
                <w:sz w:val="20"/>
                <w:szCs w:val="20"/>
              </w:rPr>
              <w:t xml:space="preserve">Score</w:t>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14.1</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Sample-based re-performance of interest calculations matches approved policy/rate sheet</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Recalculation worksheet vs. system output, SME co-sign</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14.2</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Sample-based re-performance of fee and repayment schedule calculations matches approved policy</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Recalculation worksheet vs. system output, SME co-sign</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14.3</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System-applied interest rates do not breach any applicable regulatory cap</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Rate comparison against regulatory cap</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14.4</w:t>
            </w:r>
          </w:p>
        </w:tc>
        <w:tc>
          <w:tcPr>
            <w:tcW w:type="dxa" w:w="42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Underwriting eligibility rules configured in the system match the approved credit policy</w:t>
            </w:r>
          </w:p>
        </w:tc>
        <w:tc>
          <w:tcPr>
            <w:tcW w:type="dxa" w:w="300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Configuration vs. approved policy document</w:t>
            </w:r>
          </w:p>
        </w:tc>
        <w:tc>
          <w:tcPr>
            <w:tcW w:type="dxa" w:w="1460"/>
            <w:tcBorders>
              <w:top w:val="single" w:color="C9CDD3" w:sz="1"/>
              <w:left w:val="single" w:color="C9CDD3" w:sz="1"/>
              <w:bottom w:val="single" w:color="C9CDD3" w:sz="1"/>
              <w:right w:val="single" w:color="C9CDD3" w:sz="1"/>
            </w:tcBorders>
            <w:shd w:fill="F4F6F9" w:val="clear"/>
            <w:tcMar>
              <w:top w:type="dxa" w:w="70"/>
              <w:left w:type="dxa" w:w="110"/>
              <w:bottom w:type="dxa" w:w="70"/>
              <w:right w:type="dxa" w:w="110"/>
            </w:tcMar>
            <w:vAlign w:val="center"/>
          </w:tcPr>
          <w:p>
            <w:pPr>
              <w:jc w:val="left"/>
            </w:pPr>
            <w:r>
              <w:rPr>
                <w:b w:val="false"/>
                <w:bCs w:val="false"/>
                <w:sz w:val="20"/>
                <w:szCs w:val="20"/>
              </w:rPr>
              <w:t xml:space="preserve"/>
            </w:r>
          </w:p>
        </w:tc>
      </w:tr>
      <w:tr>
        <w:tc>
          <w:tcPr>
            <w:tcW w:type="dxa" w:w="7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14.5</w:t>
            </w:r>
          </w:p>
        </w:tc>
        <w:tc>
          <w:tcPr>
            <w:tcW w:type="dxa" w:w="42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Any identified discrepancy is documented with evidence and referred appropriately</w:t>
            </w:r>
          </w:p>
        </w:tc>
        <w:tc>
          <w:tcPr>
            <w:tcW w:type="dxa" w:w="300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Discrepancy log with referral record (Development or Risk/Finance)</w:t>
            </w:r>
          </w:p>
        </w:tc>
        <w:tc>
          <w:tcPr>
            <w:tcW w:type="dxa" w:w="1460"/>
            <w:tcBorders>
              <w:top w:val="single" w:color="C9CDD3" w:sz="1"/>
              <w:left w:val="single" w:color="C9CDD3" w:sz="1"/>
              <w:bottom w:val="single" w:color="C9CDD3" w:sz="1"/>
              <w:right w:val="single" w:color="C9CDD3" w:sz="1"/>
            </w:tcBorders>
            <w:tcMar>
              <w:top w:type="dxa" w:w="70"/>
              <w:left w:type="dxa" w:w="110"/>
              <w:bottom w:type="dxa" w:w="70"/>
              <w:right w:type="dxa" w:w="110"/>
            </w:tcMar>
            <w:vAlign w:val="center"/>
          </w:tcPr>
          <w:p>
            <w:pPr>
              <w:jc w:val="left"/>
            </w:pPr>
            <w:r>
              <w:rPr>
                <w:b w:val="false"/>
                <w:bCs w:val="false"/>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CONFIDENTIAL – INTERNAL USE ONLY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6B7280"/>
        <w:sz w:val="16"/>
        <w:szCs w:val="16"/>
      </w:rPr>
      <w:t xml:space="preserve">Cybersecurity Audit Plan – Loan Management System (LMS)</w:t>
    </w:r>
    <w:r>
      <w:rPr>
        <w:color w:val="6B7280"/>
        <w:sz w:val="16"/>
        <w:szCs w:val="16"/>
      </w:rPr>
      <w:t xml:space="preserve">	Demulla Investments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F3864"/>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2026-06-18T09:04:50.544Z</dcterms:created>
  <dcterms:modified xsi:type="dcterms:W3CDTF">2026-06-18T09:04:50.557Z</dcterms:modified>
</cp:coreProperties>
</file>

<file path=docProps/custom.xml><?xml version="1.0" encoding="utf-8"?>
<Properties xmlns="http://schemas.openxmlformats.org/officeDocument/2006/custom-properties" xmlns:vt="http://schemas.openxmlformats.org/officeDocument/2006/docPropsVTypes"/>
</file>