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3969"/>
      </w:tblGrid>
      <w:tr>
        <w:tc>
          <w:tcPr>
            <w:tcW w:type="dxa" w:w="623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 w:sz="4" w:color="D8D8DB"/>
              <w:bottom w:val="nil" w:sz="4" w:color="D8D8DB"/>
              <w:left w:val="nil" w:sz="4" w:color="D8D8DB"/>
              <w:right w:val="nil" w:sz="4" w:color="D8D8DB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317635" cy="3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ulx_logo_blac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7635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rFonts w:ascii="Helvetica" w:hAnsi="Helvetica"/>
                <w:color w:val="6B6B70"/>
                <w:sz w:val="17"/>
              </w:rPr>
              <w:t>On-chain credit, secured by physical luxury collateral.</w:t>
            </w:r>
          </w:p>
        </w:tc>
        <w:tc>
          <w:tcPr>
            <w:tcW w:type="dxa" w:w="3969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 w:sz="4" w:color="D8D8DB"/>
              <w:bottom w:val="nil" w:sz="4" w:color="D8D8DB"/>
              <w:left w:val="nil" w:sz="4" w:color="D8D8DB"/>
              <w:right w:val="nil" w:sz="4" w:color="D8D8DB"/>
            </w:tcBorders>
          </w:tcPr>
          <w:p>
            <w:pPr>
              <w:spacing w:before="0" w:after="0"/>
              <w:jc w:val="right"/>
            </w:pPr>
            <w:r>
              <w:rPr>
                <w:rFonts w:ascii="Helvetica" w:hAnsi="Helvetica"/>
                <w:b/>
                <w:color w:val="0A0A0B"/>
                <w:sz w:val="17"/>
              </w:rPr>
              <w:t>Prepared for: Mercado Bitcoin</w:t>
            </w:r>
          </w:p>
          <w:p>
            <w:pPr>
              <w:spacing w:before="0" w:after="0"/>
              <w:jc w:val="right"/>
            </w:pPr>
            <w:r>
              <w:rPr>
                <w:rFonts w:ascii="Helvetica" w:hAnsi="Helvetica"/>
                <w:b w:val="0"/>
                <w:color w:val="1A1A1D"/>
                <w:sz w:val="17"/>
              </w:rPr>
              <w:t>Subject: Asset Tokenization &amp; On-Chain Credit</w:t>
            </w:r>
          </w:p>
          <w:p>
            <w:pPr>
              <w:spacing w:before="0" w:after="0"/>
              <w:jc w:val="right"/>
            </w:pPr>
            <w:r>
              <w:rPr>
                <w:rFonts w:ascii="Helvetica" w:hAnsi="Helvetica"/>
                <w:b w:val="0"/>
                <w:color w:val="6B6B70"/>
                <w:sz w:val="17"/>
              </w:rPr>
              <w:t>Date: May 7, 2026</w:t>
            </w:r>
          </w:p>
          <w:p>
            <w:pPr>
              <w:spacing w:before="0" w:after="0"/>
              <w:jc w:val="right"/>
            </w:pPr>
            <w:r>
              <w:rPr>
                <w:rFonts w:ascii="Helvetica" w:hAnsi="Helvetica"/>
                <w:b w:val="0"/>
                <w:color w:val="0E7C7B"/>
                <w:sz w:val="16"/>
              </w:rPr>
              <w:t>vaulx.fi · github.com/Vaulxfi</w:t>
            </w:r>
          </w:p>
        </w:tc>
      </w:tr>
    </w:tbl>
    <w:p>
      <w:pPr>
        <w:spacing w:before="40" w:after="0"/>
        <w:pBdr>
          <w:bottom w:val="single" w:sz="10" w:space="1" w:color="0A0A0B"/>
        </w:pBdr>
      </w:pPr>
    </w:p>
    <w:p>
      <w:pPr>
        <w:spacing w:before="160" w:after="40"/>
        <w:pBdr>
          <w:bottom w:val="single" w:sz="4" w:space="1" w:color="D8D8DB"/>
        </w:pBdr>
      </w:pPr>
      <w:r>
        <w:rPr>
          <w:rFonts w:ascii="Helvetica" w:hAnsi="Helvetica"/>
          <w:b/>
          <w:color w:val="0E7C7B"/>
          <w:sz w:val="16"/>
        </w:rPr>
        <w:t xml:space="preserve">01  </w:t>
      </w:r>
      <w:r>
        <w:rPr>
          <w:rFonts w:ascii="Helvetica" w:hAnsi="Helvetica"/>
          <w:b/>
          <w:color w:val="0A0A0B"/>
          <w:sz w:val="20"/>
        </w:rPr>
        <w:t>THE ASYMMETRY WE SOLVE</w:t>
      </w:r>
    </w:p>
    <w:p>
      <w:pPr>
        <w:spacing w:after="40"/>
      </w:pPr>
      <w:r>
        <w:rPr>
          <w:rFonts w:ascii="Times New Roman" w:hAnsi="Times New Roman"/>
          <w:b/>
          <w:color w:val="0A0A0B"/>
          <w:sz w:val="26"/>
        </w:rPr>
        <w:t>Asset-rich. Credit-trapped.</w:t>
      </w:r>
    </w:p>
    <w:p>
      <w:pPr>
        <w:spacing w:before="0" w:after="80" w:line="288" w:lineRule="auto"/>
        <w:jc w:val="left"/>
      </w:pPr>
      <w:r>
        <w:rPr>
          <w:rFonts w:ascii="Helvetica" w:hAnsi="Helvetica"/>
          <w:b w:val="0"/>
          <w:i w:val="0"/>
          <w:color w:val="1A1A1D"/>
          <w:sz w:val="18"/>
        </w:rPr>
        <w:t>A São Paulo Rolex owner with a US$ 14,000 watch faces three credit options — all bad. Caixa Federal pawn lends 20% LTV at ~30% APR (scrap-metal valuation). A consumer loan starts at ~60% APR. A revolving credit-card balance hits ~400% APR. Meanwhile, on-chain USDC liquidity sits idle at 8% APR with no trustable rail to physical collateral.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F8F6F2"/>
            <w:tcBorders>
              <w:top w:val="nil" w:sz="4" w:color="D8D8DB"/>
              <w:bottom w:val="nil" w:sz="4" w:color="D8D8DB"/>
              <w:left w:val="nil" w:sz="4" w:color="D8D8DB"/>
              <w:right w:val="nil" w:sz="4" w:color="D8D8D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Helvetica" w:hAnsi="Helvetica"/>
                <w:color w:val="6B6B70"/>
                <w:sz w:val="14"/>
              </w:rPr>
              <w:t>CAIXA PAWN (20% LTV)</w:t>
            </w:r>
          </w:p>
          <w:p>
            <w:pPr>
              <w:spacing w:before="0" w:after="0"/>
              <w:jc w:val="right"/>
            </w:pPr>
            <w:r>
              <w:rPr>
                <w:rFonts w:ascii="Helvetica" w:hAnsi="Helvetica"/>
                <w:b/>
                <w:color w:val="B8412C"/>
                <w:sz w:val="22"/>
              </w:rPr>
              <w:t>~30% APR</w:t>
            </w:r>
          </w:p>
        </w:tc>
        <w:tc>
          <w:tcPr>
            <w:tcW w:type="dxa" w:w="3402"/>
            <w:shd w:fill="F8F6F2"/>
            <w:tcBorders>
              <w:top w:val="nil" w:sz="4" w:color="D8D8DB"/>
              <w:bottom w:val="nil" w:sz="4" w:color="D8D8DB"/>
              <w:left w:val="nil" w:sz="4" w:color="D8D8DB"/>
              <w:right w:val="nil" w:sz="4" w:color="D8D8D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Helvetica" w:hAnsi="Helvetica"/>
                <w:color w:val="6B6B70"/>
                <w:sz w:val="14"/>
              </w:rPr>
              <w:t>CONSUMER LOAN</w:t>
            </w:r>
          </w:p>
          <w:p>
            <w:pPr>
              <w:spacing w:before="0" w:after="0"/>
              <w:jc w:val="right"/>
            </w:pPr>
            <w:r>
              <w:rPr>
                <w:rFonts w:ascii="Helvetica" w:hAnsi="Helvetica"/>
                <w:b/>
                <w:color w:val="B8412C"/>
                <w:sz w:val="22"/>
              </w:rPr>
              <w:t>~60% APR</w:t>
            </w:r>
          </w:p>
        </w:tc>
        <w:tc>
          <w:tcPr>
            <w:tcW w:type="dxa" w:w="3402"/>
            <w:shd w:fill="F8F6F2"/>
            <w:tcBorders>
              <w:top w:val="nil" w:sz="4" w:color="D8D8DB"/>
              <w:bottom w:val="nil" w:sz="4" w:color="D8D8DB"/>
              <w:left w:val="nil" w:sz="4" w:color="D8D8DB"/>
              <w:right w:val="nil" w:sz="4" w:color="D8D8D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Helvetica" w:hAnsi="Helvetica"/>
                <w:color w:val="6B6B70"/>
                <w:sz w:val="14"/>
              </w:rPr>
              <w:t>CREDIT-CARD REVOLVING</w:t>
            </w:r>
          </w:p>
          <w:p>
            <w:pPr>
              <w:spacing w:before="0" w:after="0"/>
              <w:jc w:val="right"/>
            </w:pPr>
            <w:r>
              <w:rPr>
                <w:rFonts w:ascii="Helvetica" w:hAnsi="Helvetica"/>
                <w:b/>
                <w:color w:val="B8412C"/>
                <w:sz w:val="22"/>
              </w:rPr>
              <w:t>~400% APR</w:t>
            </w:r>
          </w:p>
        </w:tc>
      </w:tr>
    </w:tbl>
    <w:p>
      <w:pPr>
        <w:spacing w:before="160" w:after="40"/>
        <w:pBdr>
          <w:bottom w:val="single" w:sz="4" w:space="1" w:color="D8D8DB"/>
        </w:pBdr>
      </w:pPr>
      <w:r>
        <w:rPr>
          <w:rFonts w:ascii="Helvetica" w:hAnsi="Helvetica"/>
          <w:b/>
          <w:color w:val="0E7C7B"/>
          <w:sz w:val="16"/>
        </w:rPr>
        <w:t xml:space="preserve">02  </w:t>
      </w:r>
      <w:r>
        <w:rPr>
          <w:rFonts w:ascii="Helvetica" w:hAnsi="Helvetica"/>
          <w:b/>
          <w:color w:val="0A0A0B"/>
          <w:sz w:val="20"/>
        </w:rPr>
        <w:t>WHAT IS VAULX</w:t>
      </w:r>
    </w:p>
    <w:p>
      <w:pPr>
        <w:spacing w:before="40" w:after="60" w:line="288" w:lineRule="auto"/>
        <w:jc w:val="left"/>
      </w:pPr>
      <w:r>
        <w:rPr>
          <w:rFonts w:ascii="Helvetica" w:hAnsi="Helvetica"/>
          <w:b w:val="0"/>
          <w:i w:val="0"/>
          <w:color w:val="1A1A1D"/>
          <w:sz w:val="19"/>
        </w:rPr>
        <w:t>Vaulx is an on-chain credit protocol on Solana that connects asset-rich individuals in emerging markets with global on-chain liquidity — secured by physical luxury collateral (luxury watches first, then jewelry, gold, art) with deterministic on-chain liquidation.</w:t>
      </w:r>
    </w:p>
    <w:p>
      <w:pPr>
        <w:spacing w:before="0" w:after="80" w:line="288" w:lineRule="auto"/>
        <w:jc w:val="left"/>
      </w:pPr>
      <w:r>
        <w:rPr>
          <w:rFonts w:ascii="Helvetica" w:hAnsi="Helvetica"/>
          <w:b w:val="0"/>
          <w:i w:val="0"/>
          <w:color w:val="1A1A1D"/>
          <w:sz w:val="19"/>
        </w:rPr>
        <w:t>We do not take custody. We do not hold capital. We orchestrate licensed counterparties — independent custodians, certified appraisers, Lloyd's-class insurance — and route the loan through Solana smart contracts that release USDC only after the custodian signs custody-confirmation atomically on-chain.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fill="F8F6F2"/>
            <w:tcBorders>
              <w:top w:val="nil" w:sz="12" w:color="0E7C7B"/>
              <w:bottom w:val="nil" w:sz="12" w:color="0E7C7B"/>
              <w:left w:val="single" w:sz="12" w:color="0E7C7B"/>
              <w:right w:val="nil" w:sz="12" w:color="0E7C7B"/>
            </w:tcBorders>
            <w:tcMar>
              <w:top w:w="70" w:type="dxa"/>
              <w:bottom w:w="70" w:type="dxa"/>
              <w:left w:w="100" w:type="dxa"/>
              <w:right w:w="80" w:type="dxa"/>
            </w:tcMar>
          </w:tcPr>
          <w:p>
            <w:pPr>
              <w:spacing w:after="0"/>
            </w:pPr>
            <w:r>
              <w:rPr>
                <w:rFonts w:ascii="Helvetica" w:hAnsi="Helvetica"/>
                <w:b/>
                <w:color w:val="0A0A0B"/>
                <w:sz w:val="22"/>
              </w:rPr>
              <w:t>4</w:t>
            </w:r>
          </w:p>
          <w:p>
            <w:pPr>
              <w:spacing w:before="0" w:after="0"/>
            </w:pPr>
            <w:r>
              <w:rPr>
                <w:rFonts w:ascii="Helvetica" w:hAnsi="Helvetica"/>
                <w:color w:val="6B6B70"/>
                <w:sz w:val="15"/>
              </w:rPr>
              <w:t>Anchor programs · live on Devnet</w:t>
            </w:r>
          </w:p>
        </w:tc>
        <w:tc>
          <w:tcPr>
            <w:tcW w:type="dxa" w:w="2551"/>
            <w:shd w:fill="F8F6F2"/>
            <w:tcBorders>
              <w:top w:val="nil" w:sz="12" w:color="0E7C7B"/>
              <w:bottom w:val="nil" w:sz="12" w:color="0E7C7B"/>
              <w:left w:val="single" w:sz="12" w:color="0E7C7B"/>
              <w:right w:val="nil" w:sz="12" w:color="0E7C7B"/>
            </w:tcBorders>
            <w:tcMar>
              <w:top w:w="70" w:type="dxa"/>
              <w:bottom w:w="70" w:type="dxa"/>
              <w:left w:w="100" w:type="dxa"/>
              <w:right w:w="80" w:type="dxa"/>
            </w:tcMar>
          </w:tcPr>
          <w:p>
            <w:pPr>
              <w:spacing w:after="0"/>
            </w:pPr>
            <w:r>
              <w:rPr>
                <w:rFonts w:ascii="Helvetica" w:hAnsi="Helvetica"/>
                <w:b/>
                <w:color w:val="0A0A0B"/>
                <w:sz w:val="22"/>
              </w:rPr>
              <w:t>45+</w:t>
            </w:r>
          </w:p>
          <w:p>
            <w:pPr>
              <w:spacing w:before="0" w:after="0"/>
            </w:pPr>
            <w:r>
              <w:rPr>
                <w:rFonts w:ascii="Helvetica" w:hAnsi="Helvetica"/>
                <w:color w:val="6B6B70"/>
                <w:sz w:val="15"/>
              </w:rPr>
              <w:t>tests · all green · CI gating</w:t>
            </w:r>
          </w:p>
        </w:tc>
        <w:tc>
          <w:tcPr>
            <w:tcW w:type="dxa" w:w="2551"/>
            <w:shd w:fill="F8F6F2"/>
            <w:tcBorders>
              <w:top w:val="nil" w:sz="12" w:color="0E7C7B"/>
              <w:bottom w:val="nil" w:sz="12" w:color="0E7C7B"/>
              <w:left w:val="single" w:sz="12" w:color="0E7C7B"/>
              <w:right w:val="nil" w:sz="12" w:color="0E7C7B"/>
            </w:tcBorders>
            <w:tcMar>
              <w:top w:w="70" w:type="dxa"/>
              <w:bottom w:w="70" w:type="dxa"/>
              <w:left w:w="100" w:type="dxa"/>
              <w:right w:w="80" w:type="dxa"/>
            </w:tcMar>
          </w:tcPr>
          <w:p>
            <w:pPr>
              <w:spacing w:after="0"/>
            </w:pPr>
            <w:r>
              <w:rPr>
                <w:rFonts w:ascii="Helvetica" w:hAnsi="Helvetica"/>
                <w:b/>
                <w:color w:val="0A0A0B"/>
                <w:sz w:val="22"/>
              </w:rPr>
              <w:t>vaulx.fi</w:t>
            </w:r>
          </w:p>
          <w:p>
            <w:pPr>
              <w:spacing w:before="0" w:after="0"/>
            </w:pPr>
            <w:r>
              <w:rPr>
                <w:rFonts w:ascii="Helvetica" w:hAnsi="Helvetica"/>
                <w:color w:val="6B6B70"/>
                <w:sz w:val="15"/>
              </w:rPr>
              <w:t>frontend live · admin cockpit</w:t>
            </w:r>
          </w:p>
        </w:tc>
        <w:tc>
          <w:tcPr>
            <w:tcW w:type="dxa" w:w="2551"/>
            <w:shd w:fill="F8F6F2"/>
            <w:tcBorders>
              <w:top w:val="nil" w:sz="12" w:color="0E7C7B"/>
              <w:bottom w:val="nil" w:sz="12" w:color="0E7C7B"/>
              <w:left w:val="single" w:sz="12" w:color="0E7C7B"/>
              <w:right w:val="nil" w:sz="12" w:color="0E7C7B"/>
            </w:tcBorders>
            <w:tcMar>
              <w:top w:w="70" w:type="dxa"/>
              <w:bottom w:w="70" w:type="dxa"/>
              <w:left w:w="100" w:type="dxa"/>
              <w:right w:w="80" w:type="dxa"/>
            </w:tcMar>
          </w:tcPr>
          <w:p>
            <w:pPr>
              <w:spacing w:after="0"/>
            </w:pPr>
            <w:r>
              <w:rPr>
                <w:rFonts w:ascii="Helvetica" w:hAnsi="Helvetica"/>
                <w:b/>
                <w:color w:val="0A0A0B"/>
                <w:sz w:val="22"/>
              </w:rPr>
              <w:t>Q3 '26</w:t>
            </w:r>
          </w:p>
          <w:p>
            <w:pPr>
              <w:spacing w:before="0" w:after="0"/>
            </w:pPr>
            <w:r>
              <w:rPr>
                <w:rFonts w:ascii="Helvetica" w:hAnsi="Helvetica"/>
                <w:color w:val="6B6B70"/>
                <w:sz w:val="15"/>
              </w:rPr>
              <w:t>mainnet target · 50 borrowers</w:t>
            </w:r>
          </w:p>
        </w:tc>
      </w:tr>
    </w:tbl>
    <w:p>
      <w:pPr>
        <w:spacing w:before="160" w:after="40"/>
        <w:pBdr>
          <w:bottom w:val="single" w:sz="4" w:space="1" w:color="D8D8DB"/>
        </w:pBdr>
      </w:pPr>
      <w:r>
        <w:rPr>
          <w:rFonts w:ascii="Helvetica" w:hAnsi="Helvetica"/>
          <w:b/>
          <w:color w:val="0E7C7B"/>
          <w:sz w:val="16"/>
        </w:rPr>
        <w:t xml:space="preserve">03  </w:t>
      </w:r>
      <w:r>
        <w:rPr>
          <w:rFonts w:ascii="Helvetica" w:hAnsi="Helvetica"/>
          <w:b/>
          <w:color w:val="0A0A0B"/>
          <w:sz w:val="20"/>
        </w:rPr>
        <w:t>HOW IT WORKS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  <w:shd w:fill="F8F6F2"/>
            <w:tcBorders>
              <w:top w:val="single" w:sz="18" w:color="0E7C7B"/>
              <w:bottom w:val="nil" w:sz="18" w:color="0E7C7B"/>
              <w:left w:val="nil" w:sz="18" w:color="0E7C7B"/>
              <w:right w:val="nil" w:sz="18" w:color="0E7C7B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ourier New" w:hAnsi="Courier New"/>
                <w:b/>
                <w:color w:val="6B6B70"/>
                <w:sz w:val="15"/>
              </w:rPr>
              <w:t xml:space="preserve">01  </w:t>
            </w:r>
            <w:r>
              <w:rPr>
                <w:rFonts w:ascii="Helvetica" w:hAnsi="Helvetica"/>
                <w:b/>
                <w:color w:val="0A0A0B"/>
                <w:sz w:val="17"/>
              </w:rPr>
              <w:t>Appraise</w:t>
            </w:r>
          </w:p>
          <w:p>
            <w:pPr>
              <w:spacing w:before="0" w:after="0"/>
            </w:pPr>
            <w:r>
              <w:rPr>
                <w:rFonts w:ascii="Helvetica" w:hAnsi="Helvetica"/>
                <w:color w:val="1A1A1D"/>
                <w:sz w:val="15"/>
              </w:rPr>
              <w:t>Trilateral appraisal — online API, qualified offline appraiser, and risk-officer review — sets the fair collateral value.</w:t>
            </w:r>
          </w:p>
        </w:tc>
        <w:tc>
          <w:tcPr>
            <w:tcW w:type="dxa" w:w="2041"/>
            <w:shd w:fill="F8F6F2"/>
            <w:tcBorders>
              <w:top w:val="single" w:sz="18" w:color="0E7C7B"/>
              <w:bottom w:val="nil" w:sz="18" w:color="0E7C7B"/>
              <w:left w:val="nil" w:sz="18" w:color="0E7C7B"/>
              <w:right w:val="nil" w:sz="18" w:color="0E7C7B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ourier New" w:hAnsi="Courier New"/>
                <w:b/>
                <w:color w:val="6B6B70"/>
                <w:sz w:val="15"/>
              </w:rPr>
              <w:t xml:space="preserve">02  </w:t>
            </w:r>
            <w:r>
              <w:rPr>
                <w:rFonts w:ascii="Helvetica" w:hAnsi="Helvetica"/>
                <w:b/>
                <w:color w:val="0A0A0B"/>
                <w:sz w:val="17"/>
              </w:rPr>
              <w:t>Custody</w:t>
            </w:r>
          </w:p>
          <w:p>
            <w:pPr>
              <w:spacing w:before="0" w:after="0"/>
            </w:pPr>
            <w:r>
              <w:rPr>
                <w:rFonts w:ascii="Helvetica" w:hAnsi="Helvetica"/>
                <w:color w:val="1A1A1D"/>
                <w:sz w:val="15"/>
              </w:rPr>
              <w:t>Asset physically locked in licensed independent custody. Custodian signs custody-confirmation on-chain.</w:t>
            </w:r>
          </w:p>
        </w:tc>
        <w:tc>
          <w:tcPr>
            <w:tcW w:type="dxa" w:w="2041"/>
            <w:shd w:fill="F8F6F2"/>
            <w:tcBorders>
              <w:top w:val="single" w:sz="18" w:color="0E7C7B"/>
              <w:bottom w:val="nil" w:sz="18" w:color="0E7C7B"/>
              <w:left w:val="nil" w:sz="18" w:color="0E7C7B"/>
              <w:right w:val="nil" w:sz="18" w:color="0E7C7B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ourier New" w:hAnsi="Courier New"/>
                <w:b/>
                <w:color w:val="6B6B70"/>
                <w:sz w:val="15"/>
              </w:rPr>
              <w:t xml:space="preserve">03  </w:t>
            </w:r>
            <w:r>
              <w:rPr>
                <w:rFonts w:ascii="Helvetica" w:hAnsi="Helvetica"/>
                <w:b/>
                <w:color w:val="0A0A0B"/>
                <w:sz w:val="17"/>
              </w:rPr>
              <w:t>cNFT mint</w:t>
            </w:r>
          </w:p>
          <w:p>
            <w:pPr>
              <w:spacing w:before="0" w:after="0"/>
            </w:pPr>
            <w:r>
              <w:rPr>
                <w:rFonts w:ascii="Helvetica" w:hAnsi="Helvetica"/>
                <w:color w:val="1A1A1D"/>
                <w:sz w:val="15"/>
              </w:rPr>
              <w:t>Custody confirmation triggers cNFT mint on Solana — embeds appraisal, custody, insurance, and redemption rights.</w:t>
            </w:r>
          </w:p>
        </w:tc>
        <w:tc>
          <w:tcPr>
            <w:tcW w:type="dxa" w:w="2041"/>
            <w:shd w:fill="F8F6F2"/>
            <w:tcBorders>
              <w:top w:val="single" w:sz="18" w:color="0E7C7B"/>
              <w:bottom w:val="nil" w:sz="18" w:color="0E7C7B"/>
              <w:left w:val="nil" w:sz="18" w:color="0E7C7B"/>
              <w:right w:val="nil" w:sz="18" w:color="0E7C7B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ourier New" w:hAnsi="Courier New"/>
                <w:b/>
                <w:color w:val="6B6B70"/>
                <w:sz w:val="15"/>
              </w:rPr>
              <w:t xml:space="preserve">04  </w:t>
            </w:r>
            <w:r>
              <w:rPr>
                <w:rFonts w:ascii="Helvetica" w:hAnsi="Helvetica"/>
                <w:b/>
                <w:color w:val="0A0A0B"/>
                <w:sz w:val="17"/>
              </w:rPr>
              <w:t>Borrow</w:t>
            </w:r>
          </w:p>
          <w:p>
            <w:pPr>
              <w:spacing w:before="0" w:after="0"/>
            </w:pPr>
            <w:r>
              <w:rPr>
                <w:rFonts w:ascii="Helvetica" w:hAnsi="Helvetica"/>
                <w:color w:val="1A1A1D"/>
                <w:sz w:val="15"/>
              </w:rPr>
              <w:t>Borrower locks cNFT in the Vaulx contract; USDC drawn from Solana LPs and disbursed atomically. BRL via Pix off-ramp.</w:t>
            </w:r>
          </w:p>
        </w:tc>
        <w:tc>
          <w:tcPr>
            <w:tcW w:type="dxa" w:w="2041"/>
            <w:shd w:fill="F8F6F2"/>
            <w:tcBorders>
              <w:top w:val="single" w:sz="18" w:color="0E7C7B"/>
              <w:bottom w:val="nil" w:sz="18" w:color="0E7C7B"/>
              <w:left w:val="nil" w:sz="18" w:color="0E7C7B"/>
              <w:right w:val="nil" w:sz="18" w:color="0E7C7B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ourier New" w:hAnsi="Courier New"/>
                <w:b/>
                <w:color w:val="6B6B70"/>
                <w:sz w:val="15"/>
              </w:rPr>
              <w:t xml:space="preserve">05  </w:t>
            </w:r>
            <w:r>
              <w:rPr>
                <w:rFonts w:ascii="Helvetica" w:hAnsi="Helvetica"/>
                <w:b/>
                <w:color w:val="0A0A0B"/>
                <w:sz w:val="17"/>
              </w:rPr>
              <w:t>Repay / Default</w:t>
            </w:r>
          </w:p>
          <w:p>
            <w:pPr>
              <w:spacing w:before="0" w:after="0"/>
            </w:pPr>
            <w:r>
              <w:rPr>
                <w:rFonts w:ascii="Helvetica" w:hAnsi="Helvetica"/>
                <w:color w:val="1A1A1D"/>
                <w:sz w:val="15"/>
              </w:rPr>
              <w:t>Repayment releases the cNFT and returns the asset. Default triggers a 14-day Dutch auction; proceeds settle the loan.</w:t>
            </w:r>
          </w:p>
        </w:tc>
      </w:tr>
    </w:tbl>
    <w:p>
      <w:pPr>
        <w:spacing w:before="160" w:after="40"/>
        <w:pBdr>
          <w:bottom w:val="single" w:sz="4" w:space="1" w:color="D8D8DB"/>
        </w:pBdr>
      </w:pPr>
      <w:r>
        <w:rPr>
          <w:rFonts w:ascii="Helvetica" w:hAnsi="Helvetica"/>
          <w:b/>
          <w:color w:val="0E7C7B"/>
          <w:sz w:val="16"/>
        </w:rPr>
        <w:t xml:space="preserve">04  </w:t>
      </w:r>
      <w:r>
        <w:rPr>
          <w:rFonts w:ascii="Helvetica" w:hAnsi="Helvetica"/>
          <w:b/>
          <w:color w:val="0A0A0B"/>
          <w:sz w:val="20"/>
        </w:rPr>
        <w:t>UNIT ECONOMICS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tcBorders>
              <w:top w:val="nil" w:sz="4" w:color="D8D8DB"/>
              <w:bottom w:val="nil" w:sz="4" w:color="D8D8DB"/>
              <w:left w:val="nil" w:sz="4" w:color="D8D8DB"/>
              <w:right w:val="nil" w:sz="4" w:color="D8D8DB"/>
            </w:tcBorders>
            <w:tcMar>
              <w:top w:w="20" w:type="dxa"/>
              <w:bottom w:w="2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Helvetica" w:hAnsi="Helvetica"/>
                <w:b/>
                <w:color w:val="0A0A0B"/>
                <w:sz w:val="17"/>
              </w:rPr>
              <w:t>BORROWER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551"/>
              <w:gridCol w:w="2551"/>
            </w:tblGrid>
            <w:tr>
              <w:tc>
                <w:tcPr>
                  <w:tcW w:type="dxa" w:w="2551"/>
                  <w:tcBorders>
                    <w:top w:val="nil" w:sz="4" w:color="D8D8DB"/>
                    <w:bottom w:val="nil" w:sz="4" w:color="D8D8DB"/>
                    <w:left w:val="nil" w:sz="4" w:color="D8D8DB"/>
                    <w:right w:val="nil" w:sz="4" w:color="D8D8DB"/>
                  </w:tcBorders>
                  <w:tcMar>
                    <w:top w:w="20" w:type="dxa"/>
                    <w:bottom w:w="20" w:type="dxa"/>
                    <w:left w:w="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Helvetica" w:hAnsi="Helvetica"/>
                      <w:color w:val="1A1A1D"/>
                      <w:sz w:val="17"/>
                    </w:rPr>
                    <w:t>All-in APR (2% / month)</w:t>
                  </w:r>
                </w:p>
              </w:tc>
              <w:tc>
                <w:tcPr>
                  <w:tcW w:type="dxa" w:w="2551"/>
                  <w:tcBorders>
                    <w:top w:val="nil" w:sz="4" w:color="D8D8DB"/>
                    <w:bottom w:val="nil" w:sz="4" w:color="D8D8DB"/>
                    <w:left w:val="nil" w:sz="4" w:color="D8D8DB"/>
                    <w:right w:val="nil" w:sz="4" w:color="D8D8DB"/>
                  </w:tcBorders>
                  <w:tcMar>
                    <w:top w:w="20" w:type="dxa"/>
                    <w:bottom w:w="20" w:type="dxa"/>
                    <w:left w:w="0" w:type="dxa"/>
                    <w:right w:w="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Helvetica" w:hAnsi="Helvetica"/>
                      <w:b/>
                      <w:color w:val="0E7C7B"/>
                      <w:sz w:val="17"/>
                    </w:rPr>
                    <w:t>24%</w:t>
                  </w:r>
                </w:p>
              </w:tc>
            </w:tr>
            <w:tr>
              <w:tc>
                <w:tcPr>
                  <w:tcW w:type="dxa" w:w="2551"/>
                  <w:tcBorders>
                    <w:top w:val="nil" w:sz="4" w:color="D8D8DB"/>
                    <w:bottom w:val="nil" w:sz="4" w:color="D8D8DB"/>
                    <w:left w:val="nil" w:sz="4" w:color="D8D8DB"/>
                    <w:right w:val="nil" w:sz="4" w:color="D8D8DB"/>
                  </w:tcBorders>
                  <w:tcMar>
                    <w:top w:w="20" w:type="dxa"/>
                    <w:bottom w:w="20" w:type="dxa"/>
                    <w:left w:w="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Helvetica" w:hAnsi="Helvetica"/>
                      <w:color w:val="1A1A1D"/>
                      <w:sz w:val="17"/>
                    </w:rPr>
                    <w:t>LTV (vs Caixa 20% scrap)</w:t>
                  </w:r>
                </w:p>
              </w:tc>
              <w:tc>
                <w:tcPr>
                  <w:tcW w:type="dxa" w:w="2551"/>
                  <w:tcBorders>
                    <w:top w:val="nil" w:sz="4" w:color="D8D8DB"/>
                    <w:bottom w:val="nil" w:sz="4" w:color="D8D8DB"/>
                    <w:left w:val="nil" w:sz="4" w:color="D8D8DB"/>
                    <w:right w:val="nil" w:sz="4" w:color="D8D8DB"/>
                  </w:tcBorders>
                  <w:tcMar>
                    <w:top w:w="20" w:type="dxa"/>
                    <w:bottom w:w="20" w:type="dxa"/>
                    <w:left w:w="0" w:type="dxa"/>
                    <w:right w:w="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Helvetica" w:hAnsi="Helvetica"/>
                      <w:b/>
                      <w:color w:val="0E7C7B"/>
                      <w:sz w:val="17"/>
                    </w:rPr>
                    <w:t>Up to 50%</w:t>
                  </w:r>
                </w:p>
              </w:tc>
            </w:tr>
            <w:tr>
              <w:tc>
                <w:tcPr>
                  <w:tcW w:type="dxa" w:w="2551"/>
                  <w:tcBorders>
                    <w:top w:val="nil" w:sz="4" w:color="D8D8DB"/>
                    <w:bottom w:val="nil" w:sz="4" w:color="D8D8DB"/>
                    <w:left w:val="nil" w:sz="4" w:color="D8D8DB"/>
                    <w:right w:val="nil" w:sz="4" w:color="D8D8DB"/>
                  </w:tcBorders>
                  <w:tcMar>
                    <w:top w:w="20" w:type="dxa"/>
                    <w:bottom w:w="20" w:type="dxa"/>
                    <w:left w:w="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Helvetica" w:hAnsi="Helvetica"/>
                      <w:color w:val="1A1A1D"/>
                      <w:sz w:val="17"/>
                    </w:rPr>
                    <w:t>Term</w:t>
                  </w:r>
                </w:p>
              </w:tc>
              <w:tc>
                <w:tcPr>
                  <w:tcW w:type="dxa" w:w="2551"/>
                  <w:tcBorders>
                    <w:top w:val="nil" w:sz="4" w:color="D8D8DB"/>
                    <w:bottom w:val="nil" w:sz="4" w:color="D8D8DB"/>
                    <w:left w:val="nil" w:sz="4" w:color="D8D8DB"/>
                    <w:right w:val="nil" w:sz="4" w:color="D8D8DB"/>
                  </w:tcBorders>
                  <w:tcMar>
                    <w:top w:w="20" w:type="dxa"/>
                    <w:bottom w:w="20" w:type="dxa"/>
                    <w:left w:w="0" w:type="dxa"/>
                    <w:right w:w="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Helvetica" w:hAnsi="Helvetica"/>
                      <w:b/>
                      <w:color w:val="0E7C7B"/>
                      <w:sz w:val="17"/>
                    </w:rPr>
                    <w:t>3-month, renewable</w:t>
                  </w:r>
                </w:p>
              </w:tc>
            </w:tr>
            <w:tr>
              <w:tc>
                <w:tcPr>
                  <w:tcW w:type="dxa" w:w="2551"/>
                  <w:tcBorders>
                    <w:top w:val="nil" w:sz="4" w:color="D8D8DB"/>
                    <w:bottom w:val="nil" w:sz="4" w:color="D8D8DB"/>
                    <w:left w:val="nil" w:sz="4" w:color="D8D8DB"/>
                    <w:right w:val="nil" w:sz="4" w:color="D8D8DB"/>
                  </w:tcBorders>
                  <w:tcMar>
                    <w:top w:w="20" w:type="dxa"/>
                    <w:bottom w:w="20" w:type="dxa"/>
                    <w:left w:w="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Helvetica" w:hAnsi="Helvetica"/>
                      <w:color w:val="1A1A1D"/>
                      <w:sz w:val="17"/>
                    </w:rPr>
                    <w:t>vs credit-card revolving</w:t>
                  </w:r>
                </w:p>
              </w:tc>
              <w:tc>
                <w:tcPr>
                  <w:tcW w:type="dxa" w:w="2551"/>
                  <w:tcBorders>
                    <w:top w:val="nil" w:sz="4" w:color="D8D8DB"/>
                    <w:bottom w:val="nil" w:sz="4" w:color="D8D8DB"/>
                    <w:left w:val="nil" w:sz="4" w:color="D8D8DB"/>
                    <w:right w:val="nil" w:sz="4" w:color="D8D8DB"/>
                  </w:tcBorders>
                  <w:tcMar>
                    <w:top w:w="20" w:type="dxa"/>
                    <w:bottom w:w="20" w:type="dxa"/>
                    <w:left w:w="0" w:type="dxa"/>
                    <w:right w:w="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Helvetica" w:hAnsi="Helvetica"/>
                      <w:b/>
                      <w:color w:val="0E7C7B"/>
                      <w:sz w:val="17"/>
                    </w:rPr>
                    <w:t>16× cheaper</w:t>
                  </w:r>
                </w:p>
              </w:tc>
            </w:tr>
          </w:tbl>
          <w:p/>
        </w:tc>
        <w:tc>
          <w:tcPr>
            <w:tcW w:type="dxa" w:w="5103"/>
            <w:tcBorders>
              <w:top w:val="nil" w:sz="4" w:color="D8D8DB"/>
              <w:bottom w:val="nil" w:sz="4" w:color="D8D8DB"/>
              <w:left w:val="nil" w:sz="4" w:color="D8D8DB"/>
              <w:right w:val="nil" w:sz="4" w:color="D8D8DB"/>
            </w:tcBorders>
            <w:tcMar>
              <w:top w:w="20" w:type="dxa"/>
              <w:bottom w:w="2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Helvetica" w:hAnsi="Helvetica"/>
                <w:b/>
                <w:color w:val="0A0A0B"/>
                <w:sz w:val="17"/>
              </w:rPr>
              <w:t>CAPITAL PROVIDERS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551"/>
              <w:gridCol w:w="2551"/>
            </w:tblGrid>
            <w:tr>
              <w:tc>
                <w:tcPr>
                  <w:tcW w:type="dxa" w:w="2551"/>
                  <w:tcBorders>
                    <w:top w:val="nil" w:sz="4" w:color="D8D8DB"/>
                    <w:bottom w:val="nil" w:sz="4" w:color="D8D8DB"/>
                    <w:left w:val="nil" w:sz="4" w:color="D8D8DB"/>
                    <w:right w:val="nil" w:sz="4" w:color="D8D8DB"/>
                  </w:tcBorders>
                  <w:tcMar>
                    <w:top w:w="20" w:type="dxa"/>
                    <w:bottom w:w="20" w:type="dxa"/>
                    <w:left w:w="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Helvetica" w:hAnsi="Helvetica"/>
                      <w:color w:val="1A1A1D"/>
                      <w:sz w:val="17"/>
                    </w:rPr>
                    <w:t>Senior tranche (USDC, fixed)</w:t>
                  </w:r>
                </w:p>
              </w:tc>
              <w:tc>
                <w:tcPr>
                  <w:tcW w:type="dxa" w:w="2551"/>
                  <w:tcBorders>
                    <w:top w:val="nil" w:sz="4" w:color="D8D8DB"/>
                    <w:bottom w:val="nil" w:sz="4" w:color="D8D8DB"/>
                    <w:left w:val="nil" w:sz="4" w:color="D8D8DB"/>
                    <w:right w:val="nil" w:sz="4" w:color="D8D8DB"/>
                  </w:tcBorders>
                  <w:tcMar>
                    <w:top w:w="20" w:type="dxa"/>
                    <w:bottom w:w="20" w:type="dxa"/>
                    <w:left w:w="0" w:type="dxa"/>
                    <w:right w:w="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Helvetica" w:hAnsi="Helvetica"/>
                      <w:b/>
                      <w:color w:val="0E7C7B"/>
                      <w:sz w:val="17"/>
                    </w:rPr>
                    <w:t>8% APR</w:t>
                  </w:r>
                </w:p>
              </w:tc>
            </w:tr>
            <w:tr>
              <w:tc>
                <w:tcPr>
                  <w:tcW w:type="dxa" w:w="2551"/>
                  <w:tcBorders>
                    <w:top w:val="nil" w:sz="4" w:color="D8D8DB"/>
                    <w:bottom w:val="nil" w:sz="4" w:color="D8D8DB"/>
                    <w:left w:val="nil" w:sz="4" w:color="D8D8DB"/>
                    <w:right w:val="nil" w:sz="4" w:color="D8D8DB"/>
                  </w:tcBorders>
                  <w:tcMar>
                    <w:top w:w="20" w:type="dxa"/>
                    <w:bottom w:w="20" w:type="dxa"/>
                    <w:left w:w="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Helvetica" w:hAnsi="Helvetica"/>
                      <w:color w:val="1A1A1D"/>
                      <w:sz w:val="17"/>
                    </w:rPr>
                    <w:t>Junior tranche (USDC, fixed)</w:t>
                  </w:r>
                </w:p>
              </w:tc>
              <w:tc>
                <w:tcPr>
                  <w:tcW w:type="dxa" w:w="2551"/>
                  <w:tcBorders>
                    <w:top w:val="nil" w:sz="4" w:color="D8D8DB"/>
                    <w:bottom w:val="nil" w:sz="4" w:color="D8D8DB"/>
                    <w:left w:val="nil" w:sz="4" w:color="D8D8DB"/>
                    <w:right w:val="nil" w:sz="4" w:color="D8D8DB"/>
                  </w:tcBorders>
                  <w:tcMar>
                    <w:top w:w="20" w:type="dxa"/>
                    <w:bottom w:w="20" w:type="dxa"/>
                    <w:left w:w="0" w:type="dxa"/>
                    <w:right w:w="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Helvetica" w:hAnsi="Helvetica"/>
                      <w:b/>
                      <w:color w:val="0E7C7B"/>
                      <w:sz w:val="17"/>
                    </w:rPr>
                    <w:t>12% APR</w:t>
                  </w:r>
                </w:p>
              </w:tc>
            </w:tr>
            <w:tr>
              <w:tc>
                <w:tcPr>
                  <w:tcW w:type="dxa" w:w="2551"/>
                  <w:tcBorders>
                    <w:top w:val="nil" w:sz="4" w:color="D8D8DB"/>
                    <w:bottom w:val="nil" w:sz="4" w:color="D8D8DB"/>
                    <w:left w:val="nil" w:sz="4" w:color="D8D8DB"/>
                    <w:right w:val="nil" w:sz="4" w:color="D8D8DB"/>
                  </w:tcBorders>
                  <w:tcMar>
                    <w:top w:w="20" w:type="dxa"/>
                    <w:bottom w:w="20" w:type="dxa"/>
                    <w:left w:w="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Helvetica" w:hAnsi="Helvetica"/>
                      <w:color w:val="1A1A1D"/>
                      <w:sz w:val="17"/>
                    </w:rPr>
                    <w:t>Vaulx protocol-owned first-loss</w:t>
                  </w:r>
                </w:p>
              </w:tc>
              <w:tc>
                <w:tcPr>
                  <w:tcW w:type="dxa" w:w="2551"/>
                  <w:tcBorders>
                    <w:top w:val="nil" w:sz="4" w:color="D8D8DB"/>
                    <w:bottom w:val="nil" w:sz="4" w:color="D8D8DB"/>
                    <w:left w:val="nil" w:sz="4" w:color="D8D8DB"/>
                    <w:right w:val="nil" w:sz="4" w:color="D8D8DB"/>
                  </w:tcBorders>
                  <w:tcMar>
                    <w:top w:w="20" w:type="dxa"/>
                    <w:bottom w:w="20" w:type="dxa"/>
                    <w:left w:w="0" w:type="dxa"/>
                    <w:right w:w="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Helvetica" w:hAnsi="Helvetica"/>
                      <w:b/>
                      <w:color w:val="0E7C7B"/>
                      <w:sz w:val="17"/>
                    </w:rPr>
                    <w:t>5% buffer</w:t>
                  </w:r>
                </w:p>
              </w:tc>
            </w:tr>
            <w:tr>
              <w:tc>
                <w:tcPr>
                  <w:tcW w:type="dxa" w:w="2551"/>
                  <w:tcBorders>
                    <w:top w:val="nil" w:sz="4" w:color="D8D8DB"/>
                    <w:bottom w:val="nil" w:sz="4" w:color="D8D8DB"/>
                    <w:left w:val="nil" w:sz="4" w:color="D8D8DB"/>
                    <w:right w:val="nil" w:sz="4" w:color="D8D8DB"/>
                  </w:tcBorders>
                  <w:tcMar>
                    <w:top w:w="20" w:type="dxa"/>
                    <w:bottom w:w="20" w:type="dxa"/>
                    <w:left w:w="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Helvetica" w:hAnsi="Helvetica"/>
                      <w:color w:val="1A1A1D"/>
                      <w:sz w:val="17"/>
                    </w:rPr>
                    <w:t>vs Maple syrupUSDC senior</w:t>
                  </w:r>
                </w:p>
              </w:tc>
              <w:tc>
                <w:tcPr>
                  <w:tcW w:type="dxa" w:w="2551"/>
                  <w:tcBorders>
                    <w:top w:val="nil" w:sz="4" w:color="D8D8DB"/>
                    <w:bottom w:val="nil" w:sz="4" w:color="D8D8DB"/>
                    <w:left w:val="nil" w:sz="4" w:color="D8D8DB"/>
                    <w:right w:val="nil" w:sz="4" w:color="D8D8DB"/>
                  </w:tcBorders>
                  <w:tcMar>
                    <w:top w:w="20" w:type="dxa"/>
                    <w:bottom w:w="20" w:type="dxa"/>
                    <w:left w:w="0" w:type="dxa"/>
                    <w:right w:w="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Helvetica" w:hAnsi="Helvetica"/>
                      <w:b/>
                      <w:color w:val="0E7C7B"/>
                      <w:sz w:val="17"/>
                    </w:rPr>
                    <w:t>+100 bps</w:t>
                  </w:r>
                </w:p>
              </w:tc>
            </w:tr>
          </w:tbl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FEDE5"/>
            <w:tcBorders>
              <w:top w:val="nil" w:sz="18" w:color="0E7C7B"/>
              <w:bottom w:val="nil" w:sz="18" w:color="0E7C7B"/>
              <w:left w:val="single" w:sz="18" w:color="0E7C7B"/>
              <w:right w:val="nil" w:sz="18" w:color="0E7C7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Helvetica" w:hAnsi="Helvetica"/>
                <w:b/>
                <w:color w:val="0E7C7B"/>
                <w:sz w:val="17"/>
              </w:rPr>
              <w:t xml:space="preserve">VAULX REVENUE   </w:t>
            </w:r>
            <w:r>
              <w:rPr>
                <w:rFonts w:ascii="Helvetica" w:hAnsi="Helvetica"/>
                <w:color w:val="0A0A0B"/>
                <w:sz w:val="17"/>
              </w:rPr>
              <w:t>~$300–600 per asset / year (6–12% of borrowed). Origination + servicing + curator fees.</w:t>
            </w:r>
          </w:p>
        </w:tc>
      </w:tr>
    </w:tbl>
    <w:p>
      <w:pPr>
        <w:spacing w:before="160" w:after="40"/>
        <w:pBdr>
          <w:bottom w:val="single" w:sz="4" w:space="1" w:color="D8D8DB"/>
        </w:pBdr>
      </w:pPr>
      <w:r>
        <w:rPr>
          <w:rFonts w:ascii="Helvetica" w:hAnsi="Helvetica"/>
          <w:b/>
          <w:color w:val="0E7C7B"/>
          <w:sz w:val="16"/>
        </w:rPr>
        <w:t xml:space="preserve">05  </w:t>
      </w:r>
      <w:r>
        <w:rPr>
          <w:rFonts w:ascii="Helvetica" w:hAnsi="Helvetica"/>
          <w:b/>
          <w:color w:val="0A0A0B"/>
          <w:sz w:val="20"/>
        </w:rPr>
        <w:t>WHERE MERCADO BITCOIN FITS</w:t>
      </w:r>
    </w:p>
    <w:p>
      <w:pPr>
        <w:spacing w:before="0" w:after="80" w:line="288" w:lineRule="auto"/>
        <w:jc w:val="left"/>
      </w:pPr>
      <w:r>
        <w:rPr>
          <w:rFonts w:ascii="Helvetica" w:hAnsi="Helvetica"/>
          <w:b w:val="0"/>
          <w:i w:val="0"/>
          <w:color w:val="1A1A1D"/>
          <w:sz w:val="18"/>
        </w:rPr>
        <w:t>Vaulx has built the protocol, the custody layer, and the borrower funnel. To operate compliantly in Brazil at scale, we need a regulated counterparty. Three areas where MB and Vaulx could cooperate:</w:t>
      </w:r>
    </w:p>
    <w:p>
      <w:pPr>
        <w:spacing w:before="0" w:after="40"/>
        <w:ind w:left="113"/>
      </w:pPr>
      <w:r>
        <w:rPr>
          <w:rFonts w:ascii="Helvetica" w:hAnsi="Helvetica"/>
          <w:b/>
          <w:color w:val="0E7C7B"/>
          <w:sz w:val="18"/>
        </w:rPr>
        <w:t xml:space="preserve">▪  </w:t>
      </w:r>
      <w:r>
        <w:rPr>
          <w:rFonts w:ascii="Helvetica" w:hAnsi="Helvetica"/>
          <w:b/>
          <w:color w:val="0A0A0B"/>
          <w:sz w:val="18"/>
        </w:rPr>
        <w:t xml:space="preserve">Regulated tokenization  </w:t>
      </w:r>
      <w:r>
        <w:rPr>
          <w:rFonts w:ascii="Helvetica" w:hAnsi="Helvetica"/>
          <w:color w:val="1A1A1D"/>
          <w:sz w:val="18"/>
        </w:rPr>
        <w:t>MB issues the on-chain representation (cNFT) of the vaulted asset under its existing license.</w:t>
      </w:r>
    </w:p>
    <w:p>
      <w:pPr>
        <w:spacing w:before="0" w:after="40"/>
        <w:ind w:left="113"/>
      </w:pPr>
      <w:r>
        <w:rPr>
          <w:rFonts w:ascii="Helvetica" w:hAnsi="Helvetica"/>
          <w:b/>
          <w:color w:val="0E7C7B"/>
          <w:sz w:val="18"/>
        </w:rPr>
        <w:t xml:space="preserve">▪  </w:t>
      </w:r>
      <w:r>
        <w:rPr>
          <w:rFonts w:ascii="Helvetica" w:hAnsi="Helvetica"/>
          <w:b/>
          <w:color w:val="0A0A0B"/>
          <w:sz w:val="18"/>
        </w:rPr>
        <w:t xml:space="preserve">Fiat rails · BRL ↔ USDC  </w:t>
      </w:r>
      <w:r>
        <w:rPr>
          <w:rFonts w:ascii="Helvetica" w:hAnsi="Helvetica"/>
          <w:color w:val="1A1A1D"/>
          <w:sz w:val="18"/>
        </w:rPr>
        <w:t>MB acts as the primary on/off-ramp for borrower disbursement and repayment via Pix.</w:t>
      </w:r>
    </w:p>
    <w:p>
      <w:pPr>
        <w:spacing w:before="0" w:after="40"/>
        <w:ind w:left="113"/>
      </w:pPr>
      <w:r>
        <w:rPr>
          <w:rFonts w:ascii="Helvetica" w:hAnsi="Helvetica"/>
          <w:b/>
          <w:color w:val="0E7C7B"/>
          <w:sz w:val="18"/>
        </w:rPr>
        <w:t xml:space="preserve">▪  </w:t>
      </w:r>
      <w:r>
        <w:rPr>
          <w:rFonts w:ascii="Helvetica" w:hAnsi="Helvetica"/>
          <w:b/>
          <w:color w:val="0A0A0B"/>
          <w:sz w:val="18"/>
        </w:rPr>
        <w:t xml:space="preserve">Yield product distribution  </w:t>
      </w:r>
      <w:r>
        <w:rPr>
          <w:rFonts w:ascii="Helvetica" w:hAnsi="Helvetica"/>
          <w:color w:val="1A1A1D"/>
          <w:sz w:val="18"/>
        </w:rPr>
        <w:t>Vaulx senior tranche (8% USDC, physical collateral, insured) listed for MB institutional / retail.</w:t>
      </w:r>
    </w:p>
    <w:p>
      <w:pPr>
        <w:spacing w:before="160" w:after="40"/>
        <w:pBdr>
          <w:bottom w:val="single" w:sz="4" w:space="1" w:color="D8D8DB"/>
        </w:pBdr>
      </w:pPr>
      <w:r>
        <w:rPr>
          <w:rFonts w:ascii="Helvetica" w:hAnsi="Helvetica"/>
          <w:b/>
          <w:color w:val="0E7C7B"/>
          <w:sz w:val="16"/>
        </w:rPr>
        <w:t xml:space="preserve">06  </w:t>
      </w:r>
      <w:r>
        <w:rPr>
          <w:rFonts w:ascii="Helvetica" w:hAnsi="Helvetica"/>
          <w:b/>
          <w:color w:val="0A0A0B"/>
          <w:sz w:val="20"/>
        </w:rPr>
        <w:t>WHAT PROTECTS EVERYONE</w:t>
      </w:r>
    </w:p>
    <w:p>
      <w:pPr>
        <w:spacing w:before="0" w:after="40"/>
        <w:ind w:left="113"/>
      </w:pPr>
      <w:r>
        <w:rPr>
          <w:rFonts w:ascii="Helvetica" w:hAnsi="Helvetica"/>
          <w:b/>
          <w:color w:val="0E7C7B"/>
          <w:sz w:val="18"/>
        </w:rPr>
        <w:t xml:space="preserve">▪  </w:t>
      </w:r>
      <w:r>
        <w:rPr>
          <w:rFonts w:ascii="Helvetica" w:hAnsi="Helvetica"/>
          <w:b/>
          <w:color w:val="0A0A0B"/>
          <w:sz w:val="18"/>
        </w:rPr>
        <w:t xml:space="preserve">Atomic invariant  </w:t>
      </w:r>
      <w:r>
        <w:rPr>
          <w:rFonts w:ascii="Helvetica" w:hAnsi="Helvetica"/>
          <w:color w:val="1A1A1D"/>
          <w:sz w:val="18"/>
        </w:rPr>
        <w:t>No USDC disburses until the licensed custodian signs custody-confirmation, atomically, in the same transaction.</w:t>
      </w:r>
    </w:p>
    <w:p>
      <w:pPr>
        <w:spacing w:before="0" w:after="40"/>
        <w:ind w:left="113"/>
      </w:pPr>
      <w:r>
        <w:rPr>
          <w:rFonts w:ascii="Helvetica" w:hAnsi="Helvetica"/>
          <w:b/>
          <w:color w:val="0E7C7B"/>
          <w:sz w:val="18"/>
        </w:rPr>
        <w:t xml:space="preserve">▪  </w:t>
      </w:r>
      <w:r>
        <w:rPr>
          <w:rFonts w:ascii="Helvetica" w:hAnsi="Helvetica"/>
          <w:b/>
          <w:color w:val="0A0A0B"/>
          <w:sz w:val="18"/>
        </w:rPr>
        <w:t xml:space="preserve">Independent licensed custody  </w:t>
      </w:r>
      <w:r>
        <w:rPr>
          <w:rFonts w:ascii="Helvetica" w:hAnsi="Helvetica"/>
          <w:color w:val="1A1A1D"/>
          <w:sz w:val="18"/>
        </w:rPr>
        <w:t>Brinks- / Loomis-class custodian — not Vaulx, not MB — retains physical control of the asset.</w:t>
      </w:r>
    </w:p>
    <w:p>
      <w:pPr>
        <w:spacing w:before="0" w:after="40"/>
        <w:ind w:left="113"/>
      </w:pPr>
      <w:r>
        <w:rPr>
          <w:rFonts w:ascii="Helvetica" w:hAnsi="Helvetica"/>
          <w:b/>
          <w:color w:val="0E7C7B"/>
          <w:sz w:val="18"/>
        </w:rPr>
        <w:t xml:space="preserve">▪  </w:t>
      </w:r>
      <w:r>
        <w:rPr>
          <w:rFonts w:ascii="Helvetica" w:hAnsi="Helvetica"/>
          <w:b/>
          <w:color w:val="0A0A0B"/>
          <w:sz w:val="18"/>
        </w:rPr>
        <w:t xml:space="preserve">Lloyd's-class insurance  </w:t>
      </w:r>
      <w:r>
        <w:rPr>
          <w:rFonts w:ascii="Helvetica" w:hAnsi="Helvetica"/>
          <w:color w:val="1A1A1D"/>
          <w:sz w:val="18"/>
        </w:rPr>
        <w:t>Theft + damage to the trustee on every vaulted asset.</w:t>
      </w:r>
    </w:p>
    <w:p>
      <w:pPr>
        <w:spacing w:before="0" w:after="40"/>
        <w:ind w:left="113"/>
      </w:pPr>
      <w:r>
        <w:rPr>
          <w:rFonts w:ascii="Helvetica" w:hAnsi="Helvetica"/>
          <w:b/>
          <w:color w:val="0E7C7B"/>
          <w:sz w:val="18"/>
        </w:rPr>
        <w:t xml:space="preserve">▪  </w:t>
      </w:r>
      <w:r>
        <w:rPr>
          <w:rFonts w:ascii="Helvetica" w:hAnsi="Helvetica"/>
          <w:b/>
          <w:color w:val="0A0A0B"/>
          <w:sz w:val="18"/>
        </w:rPr>
        <w:t xml:space="preserve">5% protocol-owned first-loss  </w:t>
      </w:r>
      <w:r>
        <w:rPr>
          <w:rFonts w:ascii="Helvetica" w:hAnsi="Helvetica"/>
          <w:color w:val="1A1A1D"/>
          <w:sz w:val="18"/>
        </w:rPr>
        <w:t>Vaulx posts capital below LP tranches — we eat default losses first.</w:t>
      </w:r>
    </w:p>
    <w:p>
      <w:pPr>
        <w:spacing w:before="160" w:after="40"/>
        <w:pBdr>
          <w:bottom w:val="single" w:sz="4" w:space="1" w:color="D8D8DB"/>
        </w:pBdr>
      </w:pPr>
    </w:p>
    <w:p>
      <w:pPr>
        <w:spacing w:before="0" w:after="40"/>
      </w:pPr>
      <w:r>
        <w:rPr>
          <w:rFonts w:ascii="Helvetica" w:hAnsi="Helvetica"/>
          <w:b/>
          <w:color w:val="0A0A0B"/>
          <w:sz w:val="14"/>
        </w:rPr>
        <w:t xml:space="preserve">TEAM:  </w:t>
      </w:r>
      <w:r>
        <w:rPr>
          <w:rFonts w:ascii="Helvetica" w:hAnsi="Helvetica"/>
          <w:color w:val="6B6B70"/>
          <w:sz w:val="14"/>
        </w:rPr>
        <w:t>George Dimitrov  CEO/CTO   ·   Marcelo  COO  (Gitel — 38 yrs BR electronic-security)   ·   Rodrigo  Head of BD   ·   Edson  Sr. Solana Eng.   ·   Felipe  DeFi Advisor (4p.finance)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3"/>
            <w:tcBorders>
              <w:top w:val="nil" w:sz="4" w:color="D8D8DB"/>
              <w:bottom w:val="nil" w:sz="4" w:color="D8D8DB"/>
              <w:left w:val="nil" w:sz="4" w:color="D8D8DB"/>
              <w:right w:val="nil" w:sz="4" w:color="D8D8DB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Helvetica" w:hAnsi="Helvetica"/>
                <w:b/>
                <w:color w:val="0A0A0B"/>
                <w:sz w:val="15"/>
              </w:rPr>
              <w:t>vaulx.fi   ·   github.com/Vaulxfi</w:t>
            </w:r>
          </w:p>
        </w:tc>
        <w:tc>
          <w:tcPr>
            <w:tcW w:type="dxa" w:w="5103"/>
            <w:tcBorders>
              <w:top w:val="nil" w:sz="4" w:color="D8D8DB"/>
              <w:bottom w:val="nil" w:sz="4" w:color="D8D8DB"/>
              <w:left w:val="nil" w:sz="4" w:color="D8D8DB"/>
              <w:right w:val="nil" w:sz="4" w:color="D8D8DB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Helvetica" w:hAnsi="Helvetica"/>
                <w:color w:val="6B6B70"/>
                <w:sz w:val="14"/>
              </w:rPr>
              <w:t>Built. Tested. Live on Solana Devnet today.   ·   STRICTLY CONFIDENTIAL</w:t>
            </w:r>
          </w:p>
        </w:tc>
      </w:tr>
    </w:tbl>
    <w:sectPr w:rsidR="00FC693F" w:rsidRPr="0006063C" w:rsidSect="00034616"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