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E711C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D6A7E">
      <w:pPr>
        <w:pStyle w:val="2"/>
        <w:keepNext w:val="0"/>
        <w:keepLines w:val="0"/>
        <w:widowControl/>
        <w:suppressLineNumbers w:val="0"/>
      </w:pPr>
      <w:r>
        <w:t>GarantiFi White Paper: Research &amp; Build Plan</w:t>
      </w:r>
    </w:p>
    <w:p w14:paraId="68C999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Output:</w:t>
      </w:r>
      <w:r>
        <w:t xml:space="preserve"> ~30-page white paper → alignment document for the team → source material for the final 6-slide pitch deck.</w:t>
      </w:r>
    </w:p>
    <w:p w14:paraId="20E6F61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Working method:</w:t>
      </w:r>
      <w:r>
        <w:t xml:space="preserve"> One module at a time. Each module = deep research first, then structured writing. You review, correct, add context. We lock it. Then move to the next.</w:t>
      </w:r>
    </w:p>
    <w:p w14:paraId="139B870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F295E">
      <w:pPr>
        <w:pStyle w:val="2"/>
        <w:keepNext w:val="0"/>
        <w:keepLines w:val="0"/>
        <w:widowControl/>
        <w:suppressLineNumbers w:val="0"/>
      </w:pPr>
      <w:r>
        <w:t>Module 1 — The Problem</w:t>
      </w:r>
    </w:p>
    <w:p w14:paraId="5D16DC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Research targets:</w:t>
      </w:r>
    </w:p>
    <w:p w14:paraId="03A170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9A3D0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Brazil's credit exclusion data: size, who is excluded, why (source: World Bank, BCB — Banco Central do Brasil, IBGE)</w:t>
      </w:r>
    </w:p>
    <w:p w14:paraId="7447BD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1495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DC93A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Pawn market in Brazil: CAIXA volumes, average LTV, default rates, branch coverage gaps</w:t>
      </w:r>
    </w:p>
    <w:p w14:paraId="374686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90B7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3A1A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Consumer credit rates in Brazil vs OECD — the 40–150% APR reality with hard numbers</w:t>
      </w:r>
    </w:p>
    <w:p w14:paraId="258813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CF84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E05A9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"Asset-rich, cash-poor" population sizing: luxury goods ownership estimates in Brazil</w:t>
      </w:r>
    </w:p>
    <w:p w14:paraId="5A149A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3F67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5F00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Informal credit market size and its predatory terms</w:t>
      </w:r>
    </w:p>
    <w:p w14:paraId="475FA2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6954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37E5E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Comparison: why existing DeFi fails this segment (no physical collateral accepted on any major protocol)</w:t>
      </w:r>
    </w:p>
    <w:p w14:paraId="0FBF5D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9390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5D5A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Cross-reference with LatAm and globally: is this problem unique to Brazil or systemic?</w:t>
      </w:r>
    </w:p>
    <w:p w14:paraId="0C3459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CECFC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Output:</w:t>
      </w:r>
      <w:r>
        <w:t xml:space="preserve"> 3–4 pages. Problem statement, quantified, evidence-backed, with no assumptions.</w:t>
      </w:r>
    </w:p>
    <w:p w14:paraId="36DA277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B6CD2">
      <w:pPr>
        <w:pStyle w:val="2"/>
        <w:keepNext w:val="0"/>
        <w:keepLines w:val="0"/>
        <w:widowControl/>
        <w:suppressLineNumbers w:val="0"/>
      </w:pPr>
      <w:r>
        <w:t>Module 2 — Why Now</w:t>
      </w:r>
    </w:p>
    <w:p w14:paraId="1E9494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Research targets:</w:t>
      </w:r>
    </w:p>
    <w:p w14:paraId="1C397A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53E1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Solana RWA ecosystem status March–April 2026: TVL, number of protocols, lending deposits, holder count</w:t>
      </w:r>
    </w:p>
    <w:p w14:paraId="0C343D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E7EF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7AA5E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Brazil crypto adoption current data: user count, volume, stablecoin dominance, regulatory environment (Drex, PIX, BCB sandbox)</w:t>
      </w:r>
    </w:p>
    <w:p w14:paraId="7023B8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60DF6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6C8F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Physical collateral on-chain: what protocols exist globally, what gap GarantiFi fills</w:t>
      </w:r>
    </w:p>
    <w:p w14:paraId="3C0598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E8F6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4DD14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Global RWA tokenization momentum: BCG/McKinsey/Ripple forecasts, institutional adoption</w:t>
      </w:r>
    </w:p>
    <w:p w14:paraId="040C05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92ED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6F18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Regulatory tailwinds in Brazil specifically: SCD license framework, FIDC, CVM tokenization rules</w:t>
      </w:r>
    </w:p>
    <w:p w14:paraId="3FEF1F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FEAD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DCEEE5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LatAm fintech cycle: why now is the inflection point (post-Nubank, PIX infrastructure, crypto penetration)</w:t>
      </w:r>
    </w:p>
    <w:p w14:paraId="7D18D2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AFB2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664EC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Why physical luxury collateral is being created as a category now, not in 2021 or 2019</w:t>
      </w:r>
    </w:p>
    <w:p w14:paraId="7A435E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4FA2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Output:</w:t>
      </w:r>
      <w:r>
        <w:t xml:space="preserve"> 3–4 pages. Not generic "crypto is growing" — specific, timed, evidence-backed.</w:t>
      </w:r>
    </w:p>
    <w:p w14:paraId="1949E89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D5161">
      <w:pPr>
        <w:pStyle w:val="2"/>
        <w:keepNext w:val="0"/>
        <w:keepLines w:val="0"/>
        <w:widowControl/>
        <w:suppressLineNumbers w:val="0"/>
      </w:pPr>
      <w:r>
        <w:t>Module 3 — The Product</w:t>
      </w:r>
    </w:p>
    <w:p w14:paraId="3A6F90F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Research targets:</w:t>
      </w:r>
    </w:p>
    <w:p w14:paraId="2A0D6B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C1C561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cNFT / compressed NFT technical implementation on Solana (Metaplex Bubblegum): how custody proof works, what is stored on-chain vs IPFS/Arweave</w:t>
      </w:r>
    </w:p>
    <w:p w14:paraId="785D5A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B1357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2B48D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Triangular appraisal model: how online (R$215) and in-person (R$450) appraisals work, industry standards for luxury goods valuation (Chrono24, WatchBox, GIA for jewelry, FIPE for vehicles)</w:t>
      </w:r>
    </w:p>
    <w:p w14:paraId="44DCC5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623F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767C7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Vault architecture: how P2P crowdlending pools work on-chain, lender vault mechanics, interest accrual</w:t>
      </w:r>
    </w:p>
    <w:p w14:paraId="50E276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23C4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A398B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Liquidity mismatch problem:</w:t>
      </w:r>
      <w:r>
        <w:t xml:space="preserve"> what happens when a lender wants early exit before loan matures — research best practices: secondary market for vault positions, tranching, liquidity reserves, insurance pools, existing protocols solving this (Maple Finance, Goldfinch, Centrifuge)</w:t>
      </w:r>
    </w:p>
    <w:p w14:paraId="1C3E2B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20F1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3E5E6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Default and recovery mechanics:</w:t>
      </w:r>
      <w:r>
        <w:t xml:space="preserve"> deep research on:</w:t>
      </w:r>
    </w:p>
    <w:p w14:paraId="626217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6C448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4339F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On-chain auction of physical asset (current plan) — how this works legally, what platforms do this, precedents</w:t>
      </w:r>
    </w:p>
    <w:p w14:paraId="4A45862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61D43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8EF7E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NFT fractionalization for ownership transfer — legal and technical feasibility</w:t>
      </w:r>
    </w:p>
    <w:p w14:paraId="775BC5E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F4973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9110D8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Full NFT ownership sale — buyer takes physical delivery</w:t>
      </w:r>
    </w:p>
    <w:p w14:paraId="5974514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2CD7A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3654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Insurance products for RWA default</w:t>
      </w:r>
    </w:p>
    <w:p w14:paraId="2435784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E0D0A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0880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Recovery rate benchmarks in pawn/asset lending (target &gt;90%)</w:t>
      </w:r>
    </w:p>
    <w:p w14:paraId="31D27BD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F20C7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B1C81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BRL stablecoin risk: depeg monitoring, dual-vault architecture (USDC + BRL)</w:t>
      </w:r>
    </w:p>
    <w:p w14:paraId="0C72A4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9CBA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C469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Smart contract audit requirements: firms, timeline, cost</w:t>
      </w:r>
    </w:p>
    <w:p w14:paraId="2C1367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9EBD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678F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Technical risks and mitigants</w:t>
      </w:r>
    </w:p>
    <w:p w14:paraId="069BD9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A176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Output:</w:t>
      </w:r>
      <w:r>
        <w:t xml:space="preserve"> 5–6 pages. Full product spec including open problems, proposed solutions, and risk matrix.</w:t>
      </w:r>
    </w:p>
    <w:p w14:paraId="654A70F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F4263">
      <w:pPr>
        <w:pStyle w:val="2"/>
        <w:keepNext w:val="0"/>
        <w:keepLines w:val="0"/>
        <w:widowControl/>
        <w:suppressLineNumbers w:val="0"/>
      </w:pPr>
      <w:r>
        <w:t>Module 4 — The Team</w:t>
      </w:r>
    </w:p>
    <w:p w14:paraId="6B7406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Research targets:</w:t>
      </w:r>
    </w:p>
    <w:p w14:paraId="6D0793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06DC2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Gitel.com.br: company profile, size, markets, security sector scope in Brazil — evidence of operational scale and bank/corporate network</w:t>
      </w:r>
    </w:p>
    <w:p w14:paraId="770292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7469B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B318A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Brazil security sector market: relevance to custody operations, physical asset transport, vault management</w:t>
      </w:r>
    </w:p>
    <w:p w14:paraId="1C56C6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E753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CF315C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Wall Street / Boston finance credentials: what this signals to judges and investors (Colosseum specifically values finance + crypto crossover)</w:t>
      </w:r>
    </w:p>
    <w:p w14:paraId="737A9D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354AC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D6904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George's profile: Italian banking education system (Bocconi, relevant institutions), CEE banking operations context — what European financial discipline means in a LatAm context</w:t>
      </w:r>
    </w:p>
    <w:p w14:paraId="0250BD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C486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8E9CC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Pattern matching: which winning Colosseum teams had similar compositions (finance + operator + developer)</w:t>
      </w:r>
    </w:p>
    <w:p w14:paraId="425560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C3395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4916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Why this team is uniquely positioned: no one else has the custody network + banking discipline + on-chain build capacity simultaneously</w:t>
      </w:r>
    </w:p>
    <w:p w14:paraId="3095EE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5FBFF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Output:</w:t>
      </w:r>
      <w:r>
        <w:t xml:space="preserve"> 2–3 pages. Each person has a concrete role and a concrete credential. Founder-market fit argument is built from evidence, not claims.</w:t>
      </w:r>
    </w:p>
    <w:p w14:paraId="5A0DA89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8BCEB">
      <w:pPr>
        <w:pStyle w:val="2"/>
        <w:keepNext w:val="0"/>
        <w:keepLines w:val="0"/>
        <w:widowControl/>
        <w:suppressLineNumbers w:val="0"/>
      </w:pPr>
      <w:r>
        <w:t>Module 5 — Business Model and Moat</w:t>
      </w:r>
    </w:p>
    <w:p w14:paraId="15BA47D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Research targets:</w:t>
      </w:r>
    </w:p>
    <w:p w14:paraId="715EA3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CEEC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P2P lending economics: how crowdlending platforms like Nexo, Credix, Goldfinch, Maple price loans, split yield, manage risk</w:t>
      </w:r>
    </w:p>
    <w:p w14:paraId="18F84D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8A143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8F05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Revenue model deep-dive: origination, spread, liquidation, rollover, and Layer 2 streams (Kamino yield, VaaS, Asset Scoring API)</w:t>
      </w:r>
    </w:p>
    <w:p w14:paraId="0D1259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09E9C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A380D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Unit economics validation: CLV R$2,865, CAC R$350–500, rollover margin improvement from 16.8% to 26% — stress-test these numbers</w:t>
      </w:r>
    </w:p>
    <w:p w14:paraId="7E82A6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D736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7F2787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Breakeven model: 400 CCBs at R$20K average, 60% rollover — does the math hold?</w:t>
      </w:r>
    </w:p>
    <w:p w14:paraId="503A41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DFFD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E69B1F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Year 1 / Year 2 projections: conservative, base, optimistic scenarios</w:t>
      </w:r>
    </w:p>
    <w:p w14:paraId="262754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716DD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D1CDE2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Competitive moat depth: why can't CAIXA, banks, or a well-funded startup replicate this in 18 months?</w:t>
      </w:r>
    </w:p>
    <w:p w14:paraId="1712F0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C111B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0EB7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Network effects: custodian network, appraiser network, borrower on-chain credit history (reputation as moat)</w:t>
      </w:r>
    </w:p>
    <w:p w14:paraId="0706D8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2B964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DA3E2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Layer 2 revenue streams: VaaS for third parties, Asset Scoring API, on-chain securitization — size these</w:t>
      </w:r>
    </w:p>
    <w:p w14:paraId="4546C3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1F66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05EDEF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LatAm asset-light expansion economics: why R$10–45K per country is credible</w:t>
      </w:r>
    </w:p>
    <w:p w14:paraId="25024A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774CA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57E88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US market entry: pawnbroker license requirements in FL and NY, TAM $8.6B → $45.6B by 2030 — verify</w:t>
      </w:r>
    </w:p>
    <w:p w14:paraId="778941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B1503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Output:</w:t>
      </w:r>
      <w:r>
        <w:t xml:space="preserve"> 5–6 pages. Bullet-proof, scenario-tested, with explicit moat analysis.</w:t>
      </w:r>
    </w:p>
    <w:p w14:paraId="6BC1166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EA3B6">
      <w:pPr>
        <w:pStyle w:val="2"/>
        <w:keepNext w:val="0"/>
        <w:keepLines w:val="0"/>
        <w:widowControl/>
        <w:suppressLineNumbers w:val="0"/>
      </w:pPr>
      <w:r>
        <w:t>Module 6 — The Ask and Roadmap</w:t>
      </w:r>
    </w:p>
    <w:p w14:paraId="1FEC9D0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Research targets:</w:t>
      </w:r>
    </w:p>
    <w:p w14:paraId="4FDC06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7D78CE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Colosseum accelerator: what the $250K actually covers, what they expect at each milestone</w:t>
      </w:r>
    </w:p>
    <w:p w14:paraId="2C48DF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0334F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D58C3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Cost structure breakdown: smart contract audit ($30–80K range), legal entity + SCD license (Brazil), custodian network setup, appraiser onboarding, first marketing/acquisition, team runway</w:t>
      </w:r>
    </w:p>
    <w:p w14:paraId="0059AA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FCA84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A29FB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Phase-by-phase budget: each milestone with estimated cost and what de-risks it</w:t>
      </w:r>
    </w:p>
    <w:p w14:paraId="3C0DD9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66037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6116B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Seed round sizing after accelerator: what comparable RWA/DeFi seed rounds looked like in 2025–2026</w:t>
      </w:r>
    </w:p>
    <w:p w14:paraId="233F5C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E40FA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CD0871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LatAm expansion cost model: per-country playbook economics</w:t>
      </w:r>
    </w:p>
    <w:p w14:paraId="664DF9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B6225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4B43A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US entry cost: pawnbroker licensing timeline and cost in FL/NY, compliance overhead</w:t>
      </w:r>
    </w:p>
    <w:p w14:paraId="089557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97AC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C5068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Comparable valuations: RWA DeFi protocol seed rounds, comparable company multiples</w:t>
      </w:r>
    </w:p>
    <w:p w14:paraId="6EA62B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B9B8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E7EB5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Exit / liquidity scenarios for early investors: token launch, acquisition, Series A</w:t>
      </w:r>
    </w:p>
    <w:p w14:paraId="4572DF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265D9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Output:</w:t>
      </w:r>
      <w:r>
        <w:t xml:space="preserve"> 4–5 pages. Every dollar accounted for, every milestone clearly connected to a risk removed or a value created.</w:t>
      </w:r>
    </w:p>
    <w:p w14:paraId="48C4363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25E52">
      <w:pPr>
        <w:pStyle w:val="2"/>
        <w:keepNext w:val="0"/>
        <w:keepLines w:val="0"/>
        <w:widowControl/>
        <w:suppressLineNumbers w:val="0"/>
      </w:pPr>
      <w:r>
        <w:t>Execution Sequence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9"/>
        <w:gridCol w:w="4483"/>
        <w:gridCol w:w="3424"/>
      </w:tblGrid>
      <w:tr w14:paraId="54E6710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FBD8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5B7FBB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084CCF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Estimated depth</w:t>
            </w:r>
          </w:p>
        </w:tc>
      </w:tr>
      <w:tr w14:paraId="15506D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45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BFB6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Problem</w:t>
            </w:r>
          </w:p>
        </w:tc>
        <w:tc>
          <w:tcPr>
            <w:tcW w:w="0" w:type="auto"/>
            <w:shd w:val="clear"/>
            <w:vAlign w:val="center"/>
          </w:tcPr>
          <w:p w14:paraId="1B6DB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3–4 pages, ~2 research rounds</w:t>
            </w:r>
          </w:p>
        </w:tc>
      </w:tr>
      <w:tr w14:paraId="27AD2B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B92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8665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Why Now</w:t>
            </w:r>
          </w:p>
        </w:tc>
        <w:tc>
          <w:tcPr>
            <w:tcW w:w="0" w:type="auto"/>
            <w:shd w:val="clear"/>
            <w:vAlign w:val="center"/>
          </w:tcPr>
          <w:p w14:paraId="24940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3–4 pages, ~2 research rounds</w:t>
            </w:r>
          </w:p>
        </w:tc>
      </w:tr>
      <w:tr w14:paraId="2D6A09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02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7816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(including liquidity + default research)</w:t>
            </w:r>
          </w:p>
        </w:tc>
        <w:tc>
          <w:tcPr>
            <w:tcW w:w="0" w:type="auto"/>
            <w:shd w:val="clear"/>
            <w:vAlign w:val="center"/>
          </w:tcPr>
          <w:p w14:paraId="3E17D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5–6 pages, ~3 research rounds</w:t>
            </w:r>
          </w:p>
        </w:tc>
      </w:tr>
      <w:tr w14:paraId="1E9D1A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68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BABD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  <w:tc>
          <w:tcPr>
            <w:tcW w:w="0" w:type="auto"/>
            <w:shd w:val="clear"/>
            <w:vAlign w:val="center"/>
          </w:tcPr>
          <w:p w14:paraId="5F950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2–3 pages, ~1–2 research rounds</w:t>
            </w:r>
          </w:p>
        </w:tc>
      </w:tr>
      <w:tr w14:paraId="7C50D8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D0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CED8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Model + Moat</w:t>
            </w:r>
          </w:p>
        </w:tc>
        <w:tc>
          <w:tcPr>
            <w:tcW w:w="0" w:type="auto"/>
            <w:shd w:val="clear"/>
            <w:vAlign w:val="center"/>
          </w:tcPr>
          <w:p w14:paraId="7D8D9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5–6 pages, ~3 research rounds</w:t>
            </w:r>
          </w:p>
        </w:tc>
      </w:tr>
      <w:tr w14:paraId="7EC53A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F8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308C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 + Roadmap</w:t>
            </w:r>
          </w:p>
        </w:tc>
        <w:tc>
          <w:tcPr>
            <w:tcW w:w="0" w:type="auto"/>
            <w:shd w:val="clear"/>
            <w:vAlign w:val="center"/>
          </w:tcPr>
          <w:p w14:paraId="6D8D5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4–5 pages, ~2 research rounds</w:t>
            </w:r>
          </w:p>
        </w:tc>
      </w:tr>
    </w:tbl>
    <w:p w14:paraId="7E5DFBF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At the end of all 6 modules:</w:t>
      </w:r>
      <w:r>
        <w:t xml:space="preserve"> compile into a single formatted white paper document, then distill into the 6-slide deck.</w:t>
      </w:r>
    </w:p>
    <w:p w14:paraId="4D7EFF2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8BA0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EBA85"/>
    <w:multiLevelType w:val="multilevel"/>
    <w:tmpl w:val="BFEEB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2747776"/>
    <w:multiLevelType w:val="multilevel"/>
    <w:tmpl w:val="C2747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BFE0657"/>
    <w:multiLevelType w:val="multilevel"/>
    <w:tmpl w:val="DBFE0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FCB0DE"/>
    <w:multiLevelType w:val="multilevel"/>
    <w:tmpl w:val="E7FCB0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7F2976"/>
    <w:multiLevelType w:val="multilevel"/>
    <w:tmpl w:val="ED7F2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E97D037"/>
    <w:multiLevelType w:val="multilevel"/>
    <w:tmpl w:val="FE97D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E37BC"/>
    <w:rsid w:val="7FFE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2026-04-17T13:28:00Z</dcterms:created>
  <dc:creator>George Dimitrov</dc:creator>
  <cp:lastModifiedBy>George Dimitrov</cp:lastModifiedBy>
  <dcterms:modified xsi:type="dcterms:W3CDTF">2026-04-17T13:28:32Z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8EBAD4D17829A87E4219E269A1AE8312_41</vt:lpwstr>
  </property>
</Properties>
</file>