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alsw1j1j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Vaulx — 5-Page Brief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For: Team, Advisors, Investors · April 22, 2026 · Owner: George (CEO)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compressed operating truth. Source of record: Canonical Spec v3. Where this brief and the spec conflict, the spec governs.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pdtvi2y53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Vaulx 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Vaulx is a Solana-native lending protocol connecting global capital with asset-rich, credit-excluded borrowers in high-interest-rate economies — using physical luxury assets (watches first; jewelry, art, vehicles later) as on-chain-enforced collateral. The defining technical claim: </w:t>
      </w:r>
      <w:r w:rsidDel="00000000" w:rsidR="00000000" w:rsidRPr="00000000">
        <w:rPr>
          <w:b w:val="1"/>
          <w:bCs w:val="1"/>
          <w:rtl w:val="0"/>
        </w:rPr>
        <w:t xml:space="preserve">no loan disburses until physical custody is confirmed on-chain</w:t>
      </w:r>
      <w:r w:rsidDel="00000000" w:rsidR="00000000" w:rsidRPr="00000000">
        <w:rPr>
          <w:rtl w:val="0"/>
        </w:rPr>
        <w:t xml:space="preserve">, enforced in Anchor account constraints the Solana runtime cannot bypass. This is the 18–24-month replication gap every competitor would need to close. First deployment: São Paulo, luxury watches, Q3 2026.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orcveida3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now — four aligned tailwinds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Solana compressed NFTs</w:t>
      </w:r>
      <w:r w:rsidDel="00000000" w:rsidR="00000000" w:rsidRPr="00000000">
        <w:rPr>
          <w:rtl w:val="0"/>
        </w:rPr>
        <w:t xml:space="preserve"> (Metaplex Bubblegum) made custody-proof tokens sub-cent cost + 400ms finality. Economically impossible at scale before 2025.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Local-currency stablecoin maturity</w:t>
      </w:r>
      <w:r w:rsidDel="00000000" w:rsidR="00000000" w:rsidRPr="00000000">
        <w:rPr>
          <w:rtl w:val="0"/>
        </w:rPr>
        <w:t xml:space="preserve"> — BRZ live on Solana, BRLV raised $13.5M from Paradigm, B3 announced native BRL for 2026.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Brazilian regulatory clarity</w:t>
      </w:r>
      <w:r w:rsidDel="00000000" w:rsidR="00000000" w:rsidRPr="00000000">
        <w:rPr>
          <w:rtl w:val="0"/>
        </w:rPr>
        <w:t xml:space="preserve"> — CNJ Provision 196/2025 codified extrajudicial recovery of movable fiduciary assets; Lei 14.905/2024 eliminated usury cap for financial-institution lending.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TradFi RWA convergence</w:t>
      </w:r>
      <w:r w:rsidDel="00000000" w:rsidR="00000000" w:rsidRPr="00000000">
        <w:rPr>
          <w:rtl w:val="0"/>
        </w:rPr>
        <w:t xml:space="preserve"> — Goldman, BNY, UBS, Citi live on tokenized products; BCG projects $9.4T tokenized assets by 2030.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sit at the "tokenize invoices and real estate" layer. The physical-movable-collateral layer is open.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to1a2w1lm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it works (the custody gate)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Borrower → licensed custody partner (Brinks / Prosegur / Loomis São Paulo vault) → triangular appraisal (remote expert + in-person specialist + Chrono24/WatchCharts market anchor) → TRDC (Token Representing Credit Rights) minted on Solana as a compressed NFT with the custody hash → BACEN-licensed SCD partner signs the CCB (credit instrument with fiduciary alienation) → custodian signs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confirm_custody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on-chain → </w:t>
      </w:r>
      <w:r w:rsidDel="00000000" w:rsidR="00000000" w:rsidRPr="00000000">
        <w:rPr>
          <w:b w:val="1"/>
          <w:bCs w:val="1"/>
          <w:rtl w:val="0"/>
        </w:rPr>
        <w:t xml:space="preserve">Vault Program releases stablecoin only after the custody bit flips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default (under DL 911/69 + Lei 14.711/2023 + CNJ Prov. 196/2025): extrajudicial recovery, privileged auction window to platform lenders first, open market second. Target recovery 90% at 50% LTV.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Four vaults at launch, same code, different PDA seeds:</w:t>
      </w:r>
      <w:r w:rsidDel="00000000" w:rsidR="00000000" w:rsidRPr="00000000">
        <w:rPr>
          <w:rtl w:val="0"/>
        </w:rPr>
        <w:t xml:space="preserve"> Institutional-USDC, Institutional-BRL, Retail-FIDC-USDC, Retail-FIDC-BRL. One audit applies to all four. </w:t>
      </w:r>
      <w:r w:rsidDel="00000000" w:rsidR="00000000" w:rsidRPr="00000000">
        <w:rPr>
          <w:b w:val="1"/>
          <w:bCs w:val="1"/>
          <w:rtl w:val="0"/>
        </w:rPr>
        <w:t xml:space="preserve">Vaulx's equity capital never funds the loan book</w:t>
      </w:r>
      <w:r w:rsidDel="00000000" w:rsidR="00000000" w:rsidRPr="00000000">
        <w:rPr>
          <w:rtl w:val="0"/>
        </w:rPr>
        <w:t xml:space="preserve"> — institutional depositors, SCD balance sheet at Phase 0, and a retail FIDC wrapper fund origination.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n9jflvacj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economics — honest framing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Fundamentals: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Book-average target: R$37,000 loan</w:t>
      </w:r>
      <w:r w:rsidDel="00000000" w:rsidR="00000000" w:rsidRPr="00000000">
        <w:rPr>
          <w:rtl w:val="0"/>
        </w:rPr>
        <w:t xml:space="preserve"> against R$74,000 asset value at 50% LTV. R$25K is the eligibility floor only — contribution-negative at Phase 0 entry custody. Channel-curated book average via Felipe's merchant network (Rolex Daytona / AP Royal Oak / Patek Nautilus / IWC / Panerai).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Borrower rate:</w:t>
      </w:r>
      <w:r w:rsidDel="00000000" w:rsidR="00000000" w:rsidRPr="00000000">
        <w:rPr>
          <w:rtl w:val="0"/>
        </w:rPr>
        <w:t xml:space="preserve"> 2.2%/month (26.4% APR) blended base, vs. Brazilian formal-sector 40%+ average lending rate.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Lender rate:</w:t>
      </w:r>
      <w:r w:rsidDel="00000000" w:rsidR="00000000" w:rsidRPr="00000000">
        <w:rPr>
          <w:rtl w:val="0"/>
        </w:rPr>
        <w:t xml:space="preserve"> 11% APY USDC vaults, competitive with Maple / Centrifuge at a superior collateral profile.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share:</w:t>
      </w:r>
      <w:r w:rsidDel="00000000" w:rsidR="00000000" w:rsidRPr="00000000">
        <w:rPr>
          <w:rtl w:val="0"/>
        </w:rPr>
        <w:t xml:space="preserve"> 20% of gross platform spread to SCD counterparty.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Per-cycle gross contribution at R$37K base ticket:</w:t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30"/>
        <w:gridCol w:w="1025"/>
        <w:gridCol w:w="2015"/>
        <w:tblGridChange w:id="0">
          <w:tblGrid>
            <w:gridCol w:w="5330"/>
            <w:gridCol w:w="102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 2 (renewal)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Phase 0 entry (custody 0.5%/mo × asset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+R$329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+R$73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Phase 1 scale (custody 0.3%/mo at 500+ assets SLA)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+R$920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+R$665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Lifetime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(geometric cycle-events = 1/(1−renewal rate), minus CAC):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1.682242990654"/>
        <w:gridCol w:w="2395.8878504672894"/>
        <w:gridCol w:w="2862.429906542056"/>
        <w:tblGridChange w:id="0">
          <w:tblGrid>
            <w:gridCol w:w="4101.682242990654"/>
            <w:gridCol w:w="2395.8878504672894"/>
            <w:gridCol w:w="2862.4299065420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52% renewal (realistic)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62% renewal (retention 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Phase 0 entry · R$450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−R$43</w:t>
            </w:r>
            <w:r w:rsidDel="00000000" w:rsidR="00000000" w:rsidRPr="00000000">
              <w:rPr>
                <w:rtl w:val="0"/>
              </w:rPr>
              <w:t xml:space="preserve"> (thin negative)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−R$3 (break-even)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Phase 0 entry · R$270 CAC (Felipe network)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+R$137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+R$177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Phase 1 scale · R$450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+R$1,190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+R$1,555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Phase 1 scale · R$270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+R$1,370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+R$1,735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Renewal rate benchmark: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Bristol University 2020 study of 85,000 UK pawn loans reports 25% rollover baseline. Adjusted upward for luxury-asset profile + Brazilian low-default culture → </w:t>
      </w:r>
      <w:r w:rsidDel="00000000" w:rsidR="00000000" w:rsidRPr="00000000">
        <w:rPr>
          <w:b w:val="1"/>
          <w:bCs w:val="1"/>
          <w:rtl w:val="0"/>
        </w:rPr>
        <w:t xml:space="preserve">52% realistic Phase 0</w:t>
      </w:r>
      <w:r w:rsidDel="00000000" w:rsidR="00000000" w:rsidRPr="00000000">
        <w:rPr>
          <w:rtl w:val="0"/>
        </w:rPr>
        <w:t xml:space="preserve">, 62% with retention UX. (Prior "60% base" cited NPA's 85% redemption rate — category error; redemption ends the revenue cycle, renewal extends it.)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Thesis in one line:</w:t>
      </w:r>
      <w:r w:rsidDel="00000000" w:rsidR="00000000" w:rsidRPr="00000000">
        <w:rPr>
          <w:rtl w:val="0"/>
        </w:rPr>
        <w:t xml:space="preserve"> Business is thin at Phase 0 entry, robust at Phase 1 scale. Year 1 is a lever-validation cohort investment, not a volume race.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compounding levers: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 calibration</w:t>
      </w:r>
      <w:r w:rsidDel="00000000" w:rsidR="00000000" w:rsidRPr="00000000">
        <w:rPr>
          <w:rtl w:val="0"/>
        </w:rPr>
        <w:t xml:space="preserve"> (biggest) — R$37K base vs. R$25K floor via channel curation. Every +R$5K of ticket adds ~R$100/cycle gross contribution.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Custody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(second) — 0.5% → 0.3%/month at 500+ assets SLA. Frees ~R$600/cycle at R$37K ticket. This is the Phase 0 → Phase 1 economic inflection.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(third) — 52% → 62% renewal via Day-60 intent capture + Day-90 early-renewal incentive (10% origination-fee concession) + tiered loyalty pricing (Cycle 1/2/3+ at 2.2%/2.1%/2.0%/mo) + referral program (R$200–300 fee credit, referral CAC ~R$220).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Y1 operating result, Base Case 1,200 originations:</w:t>
      </w:r>
      <w:r w:rsidDel="00000000" w:rsidR="00000000" w:rsidRPr="00000000">
        <w:rPr>
          <w:rtl w:val="0"/>
        </w:rPr>
        <w:t xml:space="preserve"> loss of </w:t>
      </w:r>
      <w:r w:rsidDel="00000000" w:rsidR="00000000" w:rsidRPr="00000000">
        <w:rPr>
          <w:b w:val="1"/>
          <w:bCs w:val="1"/>
          <w:rtl w:val="0"/>
        </w:rPr>
        <w:t xml:space="preserve">R$1.6M–R$1.8M (~$273K–$299K USD)</w:t>
      </w:r>
      <w:r w:rsidDel="00000000" w:rsidR="00000000" w:rsidRPr="00000000">
        <w:rPr>
          <w:rtl w:val="0"/>
        </w:rPr>
        <w:t xml:space="preserve"> across CAC scenarios (R$450 Felipe-concentrated vs. R$580 realistic mixed-channel). G&amp;A dominates at R$1.34M flat (5 founders at R$18K/mo + legal + insurance + infra). </w:t>
      </w:r>
      <w:r w:rsidDel="00000000" w:rsidR="00000000" w:rsidRPr="00000000">
        <w:rPr>
          <w:b w:val="1"/>
          <w:bCs w:val="1"/>
          <w:rtl w:val="0"/>
        </w:rPr>
        <w:t xml:space="preserve">Break-even horizon: Y3 under lever-improved assumptions, Y4–Y5 under conservative.</w:t>
      </w:r>
      <w:r w:rsidDel="00000000" w:rsidR="00000000" w:rsidRPr="00000000">
        <w:rPr>
          <w:rtl w:val="0"/>
        </w:rPr>
        <w:t xml:space="preserve"> Not Y3 as a point estimate.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stack:</w:t>
      </w:r>
      <w:r w:rsidDel="00000000" w:rsidR="00000000" w:rsidRPr="00000000">
        <w:rPr>
          <w:rtl w:val="0"/>
        </w:rPr>
        <w:t xml:space="preserve"> origination fee 2.5–3% · net platform margin 4–6% · late fees · default processing fee · privileged-auction commission. Five independent streams.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gvpigw18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team (the structural argument)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founders, five non-overlapping axes. The team is the execution moat on top of the custody-gate architecture.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.6552262090484"/>
        <w:gridCol w:w="1625.709828393136"/>
        <w:gridCol w:w="6473.634945397816"/>
        <w:tblGridChange w:id="0">
          <w:tblGrid>
            <w:gridCol w:w="1260.6552262090484"/>
            <w:gridCol w:w="1625.709828393136"/>
            <w:gridCol w:w="6473.6349453978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they matter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George Dimitrov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CEO · Vienna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 years EU banking (UniCredit / Erste / RBI corridor). LTV calibration + default waterfall structuring as trained skills, not weekend output. EU investor + regulatory channel.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Coelho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COO · 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CEO of Gitel (38-year electronic-security integrator; 60+ corporate clients including Gerdau, ArcelorMittal, CSN, ADM, SICOOB). BR institutional-bank relationships. Federal Police compliance posture. CFTV/IoT overlay on partner vaults as distinctive audit layer.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Rodrigo Coelho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Head of Ops BR · 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Second operator inside Gitel. Institutional redundancy on BR execution. Explicit named cap-table share — deliberate signal of independent role, not bundled with Marcelo.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Strategic Advisor &amp; Co-Founder ·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CEO of crypto-rails company processing material São Paulo luxury-watch transaction flow. US VC network (Solana + BRL-stablecoin backers). SP watch-reseller network = privileged auction counterparties + acquisition channel. Advisor title externally; co-founder equity + governance internally (his preference).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Lead Developer · 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Anchor / Bubblegum / PDA. Owns on-chain programs + integration backend. Borrower/lender dApp frontend owned by George + Marcelo in parallel.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Acknowledged gaps:</w:t>
      </w:r>
      <w:r w:rsidDel="00000000" w:rsidR="00000000" w:rsidRPr="00000000">
        <w:rPr>
          <w:rtl w:val="0"/>
        </w:rPr>
        <w:t xml:space="preserve"> BR fintech legal counsel (engaged as professional service — not structural), BR growth marketer (Y2 hire). Neither blocks Phase 0.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80i265hen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Roadmap + gates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2990654205605"/>
        <w:gridCol w:w="4393.271028037383"/>
        <w:gridCol w:w="2862.429906542056"/>
        <w:tblGridChange w:id="0">
          <w:tblGrid>
            <w:gridCol w:w="2104.2990654205605"/>
            <w:gridCol w:w="4393.271028037383"/>
            <w:gridCol w:w="2862.4299065420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 — Hackathon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Colosseum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May 10, 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 — Pre-seed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$500K–$1M SAFE close, audit, SCD LOI, BR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Colosseum exit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 — Mainnet Beta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20–50 CCBs São Paulo, Phase 0 eligibility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Pre-seed close + 4–6 months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 — BR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400+ CCBs, NPS &gt;80, renewal ≥62%, default &lt;5%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0 → Phase 1 gates cleared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 — Seed + LatAm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$1.5M–$3M seed, Rio, first LatAm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BR validation complete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 — US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FL / NY state pawnbroker licensing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Q4 2027+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 — Securitization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Book tokenized as institutional fixed-income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100+ active loans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 → Phase 1 go/no-go gates — no exceptions: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Renewal rate first cohort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≥55%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Blended CAC first 30 originations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≤R$500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rate first cohort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≤7%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SCD partnership operational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≥30 consecutive days</w:t>
      </w:r>
      <w:r w:rsidDel="00000000" w:rsidR="00000000" w:rsidRPr="00000000">
        <w:rPr>
          <w:rtl w:val="0"/>
        </w:rPr>
        <w:t xml:space="preserve"> without incident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 → hold and iterate on the failed lever. Two+ gates miss → Phase 1 ramp does not begin. This discipline is the thing most early-stage lending businesses skip and most often regret.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8kcm8ccd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Ask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Pre-seed: $500K–$1M SAFE · $8M–$12M indicative cap</w:t>
      </w:r>
      <w:r w:rsidDel="00000000" w:rsidR="00000000" w:rsidRPr="00000000">
        <w:rPr>
          <w:rtl w:val="0"/>
        </w:rPr>
        <w:t xml:space="preserve"> (final at term-sheet). </w:t>
      </w:r>
      <w:r w:rsidDel="00000000" w:rsidR="00000000" w:rsidRPr="00000000">
        <w:rPr>
          <w:b w:val="1"/>
          <w:bCs w:val="1"/>
          <w:rtl w:val="0"/>
        </w:rPr>
        <w:t xml:space="preserve">Target midpoint: $750K.</w:t>
      </w:r>
      <w:r w:rsidDel="00000000" w:rsidR="00000000" w:rsidRPr="00000000">
        <w:rPr>
          <w:rtl w:val="0"/>
        </w:rPr>
        <w:t xml:space="preserve"> Colosseum $250K treated as anchor inside this range, not additive.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Full-time commitment at pre-seed close:</w:t>
      </w:r>
      <w:r w:rsidDel="00000000" w:rsidR="00000000" w:rsidRPr="00000000">
        <w:rPr>
          <w:rtl w:val="0"/>
        </w:rPr>
        <w:t xml:space="preserve"> George, Marcelo, Rodrigo, Edson. Felipe continues as Strategic Advisor.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of funds (indicative midpoint $750K):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capital</w:t>
      </w:r>
      <w:r w:rsidDel="00000000" w:rsidR="00000000" w:rsidRPr="00000000">
        <w:rPr>
          <w:rtl w:val="0"/>
        </w:rPr>
        <w:t xml:space="preserve"> — audit, legal entity, SCD partnership negotiation, custody + appraiser onboarding, brand + dApp, KYC integration: ~$286K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Y1 runway</w:t>
      </w:r>
      <w:r w:rsidDel="00000000" w:rsidR="00000000" w:rsidRPr="00000000">
        <w:rPr>
          <w:rtl w:val="0"/>
        </w:rPr>
        <w:t xml:space="preserve"> — team + ongoing opex through first-cohort validation: ~$280K–$370K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reserve</w:t>
      </w:r>
      <w:r w:rsidDel="00000000" w:rsidR="00000000" w:rsidRPr="00000000">
        <w:rPr>
          <w:rtl w:val="0"/>
        </w:rPr>
        <w:t xml:space="preserve"> — contingency + opportunistic: $50K–$150K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trajectory:</w:t>
      </w:r>
      <w:r w:rsidDel="00000000" w:rsidR="00000000" w:rsidRPr="00000000">
        <w:rPr>
          <w:rtl w:val="0"/>
        </w:rPr>
        <w:t xml:space="preserve"> $1.5M–$3M in Q4 2026 / Q1 2027, </w:t>
      </w:r>
      <w:r w:rsidDel="00000000" w:rsidR="00000000" w:rsidRPr="00000000">
        <w:rPr>
          <w:b w:val="1"/>
          <w:bCs w:val="1"/>
          <w:rtl w:val="0"/>
        </w:rPr>
        <w:t xml:space="preserve">triggered by four concrete validation milestones, not runway pressure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(a) 400+ CCBs originated, (b) ≥62% renewal rate, (c) ≤5% default rate, (d) second SP custody partner or Rio launch scoped.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Vaulx's equity capital never funds: the loan book.</w:t>
      </w:r>
      <w:r w:rsidDel="00000000" w:rsidR="00000000" w:rsidRPr="00000000">
        <w:rPr>
          <w:rtl w:val="0"/>
        </w:rPr>
        <w:t xml:space="preserve"> Partner SCD + institutional depositors + retail FIDC wrapper fund origination. This is what makes Vaulx a platform rather than a capital-intensive lender — and what preserves the equity valuation logic that pre-seed and seed investors require.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7h92gybc9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The three risks that keep us up at night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SCD partnership fails to close before mainnet</w:t>
      </w:r>
      <w:r w:rsidDel="00000000" w:rsidR="00000000" w:rsidRPr="00000000">
        <w:rPr>
          <w:rtl w:val="0"/>
        </w:rPr>
        <w:t xml:space="preserve"> (Low-Med × Critical). Single-point-of-failure on the legal side — without a licensed counterparty, there is no CCB and therefore no product. Mitigation: 2 candidates in parallel active dialog now, target signed LOI within 6 weeks of pre-seed close, SEP-license Stage 2 fallback documented. </w:t>
      </w:r>
      <w:r w:rsidDel="00000000" w:rsidR="00000000" w:rsidRPr="00000000">
        <w:rPr>
          <w:i w:val="1"/>
          <w:iCs w:val="1"/>
          <w:rtl w:val="0"/>
        </w:rPr>
        <w:t xml:space="preserve">Owner: Marcelo + fintech counsel.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 rate sits below 55% in Phase 0</w:t>
      </w:r>
      <w:r w:rsidDel="00000000" w:rsidR="00000000" w:rsidRPr="00000000">
        <w:rPr>
          <w:rtl w:val="0"/>
        </w:rPr>
        <w:t xml:space="preserve"> (Med × High). Single-point-of-failure on economics — CLV is negative regardless of volume if this misses. Mitigation: §3.7 retention architecture (four coordinated mechanisms), lever-validation program active from Month 1, Position 4 pricing pivot available. </w:t>
      </w:r>
      <w:r w:rsidDel="00000000" w:rsidR="00000000" w:rsidRPr="00000000">
        <w:rPr>
          <w:i w:val="1"/>
          <w:iCs w:val="1"/>
          <w:rtl w:val="0"/>
        </w:rPr>
        <w:t xml:space="preserve">Owner: George + product.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Edson unavailable or departs</w:t>
      </w:r>
      <w:r w:rsidDel="00000000" w:rsidR="00000000" w:rsidRPr="00000000">
        <w:rPr>
          <w:strike w:val="1"/>
          <w:rtl w:val="0"/>
        </w:rPr>
        <w:t xml:space="preserve"> (Med × High). Single-point-of-failure on technical execution until the second Solana developer hires in. Mitigation: second Solana dev hired from seed close, continuous technical documentation through Phase 0, Felipe's Solana ecosystem network as emergency bench. </w:t>
      </w:r>
      <w:r w:rsidDel="00000000" w:rsidR="00000000" w:rsidRPr="00000000">
        <w:rPr>
          <w:i w:val="1"/>
          <w:iCs w:val="1"/>
          <w:strike w:val="1"/>
          <w:rtl w:val="0"/>
        </w:rPr>
        <w:t xml:space="preserve">Owner: George.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12-risk matrix with named owners and explicit mitigations in Canonical Spec §9.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io7d5j0hm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one-line thesis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RWA protocol claims custody enforcement; Vaulx enforces it in Anchor account constraints the Solana runtime cannot bypass. The model works at scale; Year 1 earns us to Phase 1 economics through three compounding levers. The team is five non-overlapping axes with an 18-month replication moat built in. We are raising a $750K pre-seed to execute the São Paulo beachhead, close the SCD partnership, and validate the first cohort.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Questions on the math, the team, or the ask: George Dimitrov · [contact]. Full canonical spec available under NDA at term-sheet stage.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