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F2E" w:val="clear"/>
            <w:tcMar>
              <w:top w:type="dxa" w:w="600"/>
              <w:left w:type="dxa" w:w="560"/>
              <w:bottom w:type="dxa" w:w="600"/>
              <w:right w:type="dxa" w:w="5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Garanti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C9872A"/>
                <w:sz w:val="72"/>
                <w:szCs w:val="72"/>
              </w:rPr>
              <w:t xml:space="preserve">Fi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A0B4C8"/>
                <w:sz w:val="32"/>
                <w:szCs w:val="32"/>
              </w:rPr>
              <w:t xml:space="preserve">Business Model V2.6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6A8FAF"/>
                <w:sz w:val="20"/>
                <w:szCs w:val="20"/>
              </w:rPr>
              <w:t xml:space="preserve">RWA/DeFi Protocol on Solana  ·  Luxury Physical Asset Collateral  ·  Brazil &gt; Latin America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9872A"/>
                <w:sz w:val="18"/>
                <w:szCs w:val="18"/>
              </w:rPr>
              <w:t xml:space="preserve">🏄 Colosseum Frontier Hackathon  ·  April–May 2026  ·  Aligned with Technical Spec V2.6</w:t>
            </w:r>
          </w:p>
        </w:tc>
      </w:tr>
    </w:tbl>
    <w:p>
      <w:pPr>
        <w:spacing w:after="12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5"/>
        <w:gridCol w:w="2255"/>
        <w:gridCol w:w="2258"/>
        <w:gridCol w:w="2258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2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17 Sections</w:t>
            </w:r>
            <w:r>
              <w:rPr>
                <w:rFonts w:ascii="Arial" w:cs="Arial" w:eastAsia="Arial" w:hAnsi="Arial"/>
                <w:color w:val="5A6B7A"/>
                <w:sz w:val="18"/>
                <w:szCs w:val="18"/>
              </w:rPr>
              <w:t xml:space="preserve"> · 17 sections + appendices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7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3 Scenarios</w:t>
            </w:r>
            <w:r>
              <w:rPr>
                <w:rFonts w:ascii="Arial" w:cs="Arial" w:eastAsia="Arial" w:hAnsi="Arial"/>
                <w:color w:val="5A6B7A"/>
                <w:sz w:val="18"/>
                <w:szCs w:val="18"/>
              </w:rPr>
              <w:t xml:space="preserve"> · Year 1 projections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9872A"/>
                <w:sz w:val="20"/>
                <w:szCs w:val="20"/>
              </w:rPr>
              <w:t xml:space="preserve">12 Risks</w:t>
            </w:r>
            <w:r>
              <w:rPr>
                <w:rFonts w:ascii="Arial" w:cs="Arial" w:eastAsia="Arial" w:hAnsi="Arial"/>
                <w:color w:val="5A6B7A"/>
                <w:sz w:val="18"/>
                <w:szCs w:val="18"/>
              </w:rPr>
              <w:t xml:space="preserve"> · full matrix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8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Errata</w:t>
            </w:r>
            <w:r>
              <w:rPr>
                <w:rFonts w:ascii="Arial" w:cs="Arial" w:eastAsia="Arial" w:hAnsi="Arial"/>
                <w:color w:val="5A6B7A"/>
                <w:sz w:val="18"/>
                <w:szCs w:val="18"/>
              </w:rPr>
              <w:t xml:space="preserve"> · corrected data</w:t>
            </w:r>
          </w:p>
        </w:tc>
      </w:tr>
    </w:tbl>
    <w:p>
      <w:pPr>
        <w:pBdr>
          <w:bottom w:val="single" w:color="E0D8CC" w:sz="4" w:space="1"/>
        </w:pBdr>
        <w:spacing w:after="220" w:before="2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Reading Map by Audience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6"/>
        <w:gridCol w:w="1706"/>
        <w:gridCol w:w="1706"/>
        <w:gridCol w:w="1706"/>
      </w:tblGrid>
      <w:tr>
        <w:trPr>
          <w:tblHeader/>
        </w:trPr>
        <w:tc>
          <w:tcPr>
            <w:tcW w:type="dxa" w:w="2200"/>
            <w:tcBorders>
              <w:top w:val="single" w:color="0F1F2E" w:sz="1"/>
              <w:left w:val="single" w:color="0F1F2E" w:sz="1"/>
              <w:bottom w:val="single" w:color="0F1F2E" w:sz="1"/>
              <w:right w:val="single" w:color="0F1F2E" w:sz="1"/>
            </w:tcBorders>
            <w:shd w:fill="0F1F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1706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Hackathon Judges</w:t>
            </w:r>
          </w:p>
        </w:tc>
        <w:tc>
          <w:tcPr>
            <w:tcW w:type="dxa" w:w="1706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Investors</w:t>
            </w:r>
          </w:p>
        </w:tc>
        <w:tc>
          <w:tcPr>
            <w:tcW w:type="dxa" w:w="1706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Operational Partners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F2E"/>
                <w:sz w:val="18"/>
                <w:szCs w:val="18"/>
              </w:rPr>
              <w:t xml:space="preserve">1. Executive Summary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Essential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Essential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Essential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F2E"/>
                <w:sz w:val="18"/>
                <w:szCs w:val="18"/>
              </w:rPr>
              <w:t xml:space="preserve">2. Problem and Value Proposition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Essential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Essential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18"/>
                <w:szCs w:val="18"/>
              </w:rPr>
              <w:t xml:space="preserve">Context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F2E"/>
                <w:sz w:val="18"/>
                <w:szCs w:val="18"/>
              </w:rPr>
              <w:t xml:space="preserve">3. Market Sizing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18"/>
                <w:szCs w:val="18"/>
              </w:rPr>
              <w:t xml:space="preserve">Context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Essential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18"/>
                <w:szCs w:val="18"/>
              </w:rPr>
              <w:t xml:space="preserve">Context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F2E"/>
                <w:sz w:val="18"/>
                <w:szCs w:val="18"/>
              </w:rPr>
              <w:t xml:space="preserve">4. Competitive Analysis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Essential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Essential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18"/>
                <w:szCs w:val="18"/>
              </w:rPr>
              <w:t xml:space="preserve">Context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F2E"/>
                <w:sz w:val="18"/>
                <w:szCs w:val="18"/>
              </w:rPr>
              <w:t xml:space="preserve">5. Revenue Structure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18"/>
                <w:szCs w:val="18"/>
              </w:rPr>
              <w:t xml:space="preserve">Context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Essential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18"/>
                <w:szCs w:val="18"/>
              </w:rPr>
              <w:t xml:space="preserve">Context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F2E"/>
                <w:sz w:val="18"/>
                <w:szCs w:val="18"/>
              </w:rPr>
              <w:t xml:space="preserve">6. Cost Structure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A6B7A"/>
                <w:sz w:val="18"/>
                <w:szCs w:val="18"/>
              </w:rPr>
              <w:t xml:space="preserve">Optional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Essential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Essential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F2E"/>
                <w:sz w:val="18"/>
                <w:szCs w:val="18"/>
              </w:rPr>
              <w:t xml:space="preserve">7. Unit Economics and Projections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18"/>
                <w:szCs w:val="18"/>
              </w:rPr>
              <w:t xml:space="preserve">Context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Essential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18"/>
                <w:szCs w:val="18"/>
              </w:rPr>
              <w:t xml:space="preserve">Context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F2E"/>
                <w:sz w:val="18"/>
                <w:szCs w:val="18"/>
              </w:rPr>
              <w:t xml:space="preserve">8. Operational Architecture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Essential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18"/>
                <w:szCs w:val="18"/>
              </w:rPr>
              <w:t xml:space="preserve">Context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Essential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F2E"/>
                <w:sz w:val="18"/>
                <w:szCs w:val="18"/>
              </w:rPr>
              <w:t xml:space="preserve">9. Liquidation Process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18"/>
                <w:szCs w:val="18"/>
              </w:rPr>
              <w:t xml:space="preserve">Context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Essential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Essential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F2E"/>
                <w:sz w:val="18"/>
                <w:szCs w:val="18"/>
              </w:rPr>
              <w:t xml:space="preserve">10. Risk Management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Essential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Essential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Essential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F2E"/>
                <w:sz w:val="18"/>
                <w:szCs w:val="18"/>
              </w:rPr>
              <w:t xml:space="preserve">11. Regulatory Framework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18"/>
                <w:szCs w:val="18"/>
              </w:rPr>
              <w:t xml:space="preserve">Context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Essential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Essential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F2E"/>
                <w:sz w:val="18"/>
                <w:szCs w:val="18"/>
              </w:rPr>
              <w:t xml:space="preserve">12. Go-to-Market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Essential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Essential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18"/>
                <w:szCs w:val="18"/>
              </w:rPr>
              <w:t xml:space="preserve">Context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F2E"/>
                <w:sz w:val="18"/>
                <w:szCs w:val="18"/>
              </w:rPr>
              <w:t xml:space="preserve">13. Metrics and KPIs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18"/>
                <w:szCs w:val="18"/>
              </w:rPr>
              <w:t xml:space="preserve">Context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Essential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18"/>
                <w:szCs w:val="18"/>
              </w:rPr>
              <w:t xml:space="preserve">Context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F2E"/>
                <w:sz w:val="18"/>
                <w:szCs w:val="18"/>
              </w:rPr>
              <w:t xml:space="preserve">14. Roadmap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Essential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Essential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Essential</w:t>
            </w:r>
          </w:p>
        </w:tc>
      </w:tr>
    </w:tbl>
    <w:p>
      <w:pPr>
        <w:spacing w:after="60" w:before="40"/>
      </w:pPr>
      <w:r>
        <w:rPr>
          <w:rFonts w:ascii="Arial" w:cs="Arial" w:eastAsia="Arial" w:hAnsi="Arial"/>
          <w:i/>
          <w:iCs/>
          <w:color w:val="5A6B7A"/>
          <w:sz w:val="20"/>
          <w:szCs w:val="20"/>
        </w:rPr>
        <w:t xml:space="preserve">Essential = priority reading. Context = supplementary reading. Optional = consult if needed.</w:t>
      </w:r>
    </w:p>
    <w:p>
      <w:pPr>
        <w:pBdr>
          <w:bottom w:val="single" w:color="E0D8CC" w:sz="4" w:space="1"/>
        </w:pBdr>
        <w:spacing w:after="220" w:before="2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346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01</w:t>
            </w:r>
          </w:p>
        </w:tc>
        <w:tc>
          <w:tcPr>
            <w:tcW w:type="dxa" w:w="8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2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8"/>
                <w:szCs w:val="28"/>
              </w:rPr>
              <w:t xml:space="preserve">Executive Summary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7A"/>
                <w:sz w:val="18"/>
                <w:szCs w:val="18"/>
              </w:rPr>
              <w:t xml:space="preserve">Protocol overview, model, and current stage</w:t>
            </w:r>
          </w:p>
        </w:tc>
      </w:tr>
    </w:tbl>
    <w:p>
      <w:pPr>
        <w:spacing w:after="80" w:before="80"/>
      </w:pPr>
    </w:p>
    <w:p>
      <w:pPr>
        <w:spacing w:after="100" w:before="60"/>
      </w:pPr>
      <w:r>
        <w:rPr>
          <w:rFonts w:ascii="Arial" w:cs="Arial" w:eastAsia="Arial" w:hAnsi="Arial"/>
          <w:color w:val="0F1F2E"/>
          <w:sz w:val="22"/>
          <w:szCs w:val="22"/>
        </w:rPr>
        <w:t xml:space="preserve">GarantiFi is a protocol built on Solana that enables owners of high-value physical assets (watches, jewelry, art, vehicles) to use them as collateral to obtain loans in stablecoins (USDC or BRZ).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872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0F1F2E"/>
                <w:sz w:val="20"/>
                <w:szCs w:val="20"/>
              </w:rPr>
              <w:t xml:space="preserve">Connects evaluated and custodied physical assets to smart contracts that manage loans, collateral NFT custody, and automated liquidation.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it's for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2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0F1F2E"/>
                <w:sz w:val="20"/>
                <w:szCs w:val="20"/>
              </w:rPr>
              <w:t xml:space="preserve">Owners of high-value assets (minimum ticket R$ 8,000–12,000) who need liquidity without selling. Initial market: Brazil, where pawnbroking is monopolized by Caixa Econômica Federal.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7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0F1F2E"/>
                <w:sz w:val="20"/>
                <w:szCs w:val="20"/>
              </w:rPr>
              <w:t xml:space="preserve">Three sources: origination fee (2–3%), interest spread (8–12% p.a. net margin), and liquidation fee (5% on defaults).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C7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0F1F2E"/>
                <w:sz w:val="20"/>
                <w:szCs w:val="20"/>
              </w:rPr>
              <w:t xml:space="preserve">Two isolated Anchor/Rust programs (Vault + Loan), Squads 2/3 multisig, dual USDC+BRZ support, on-chain cNFT custody via Metaplex Bubblegum. Technical Spec V2.2.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F2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0F1F2E"/>
                <w:sz w:val="20"/>
                <w:szCs w:val="20"/>
              </w:rPr>
              <w:t xml:space="preserve">MVP on Devnet (Solana). Complete technical specification V2.6. Colosseum Frontier Hackathon — April/May 2026.</w:t>
            </w:r>
          </w:p>
        </w:tc>
      </w:tr>
    </w:tbl>
    <w:p>
      <w:pPr>
        <w:pBdr>
          <w:bottom w:val="single" w:color="E0D8CC" w:sz="4" w:space="1"/>
        </w:pBdr>
        <w:spacing w:after="220" w:before="2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346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02</w:t>
            </w:r>
          </w:p>
        </w:tc>
        <w:tc>
          <w:tcPr>
            <w:tcW w:type="dxa" w:w="8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2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8"/>
                <w:szCs w:val="28"/>
              </w:rPr>
              <w:t xml:space="preserve">Problem and Value Proposition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7A"/>
                <w:sz w:val="18"/>
                <w:szCs w:val="18"/>
              </w:rPr>
              <w:t xml:space="preserve">Trapped wealth, credit exclusion, and the differentiator</w:t>
            </w:r>
          </w:p>
        </w:tc>
      </w:tr>
    </w:tbl>
    <w:p>
      <w:pPr>
        <w:spacing w:after="8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2.1  Comparison with Alternatives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13"/>
        <w:gridCol w:w="2413"/>
      </w:tblGrid>
      <w:tr>
        <w:trPr>
          <w:tblHeader/>
        </w:trPr>
        <w:tc>
          <w:tcPr>
            <w:tcW w:type="dxa" w:w="2200"/>
            <w:tcBorders>
              <w:top w:val="single" w:color="0F1F2E" w:sz="1"/>
              <w:left w:val="single" w:color="0F1F2E" w:sz="1"/>
              <w:bottom w:val="single" w:color="0F1F2E" w:sz="1"/>
              <w:right w:val="single" w:color="0F1F2E" w:sz="1"/>
            </w:tcBorders>
            <w:shd w:fill="0F1F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2200"/>
            <w:tcBorders>
              <w:top w:val="single" w:color="5A6B7A" w:sz="1"/>
              <w:left w:val="single" w:color="5A6B7A" w:sz="1"/>
              <w:bottom w:val="single" w:color="5A6B7A" w:sz="1"/>
              <w:right w:val="single" w:color="5A6B7A" w:sz="1"/>
            </w:tcBorders>
            <w:shd w:fill="5A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Caixa (Pawn)</w:t>
            </w:r>
          </w:p>
        </w:tc>
        <w:tc>
          <w:tcPr>
            <w:tcW w:type="dxa" w:w="2213"/>
            <w:tcBorders>
              <w:top w:val="single" w:color="5A6B7A" w:sz="1"/>
              <w:left w:val="single" w:color="5A6B7A" w:sz="1"/>
              <w:bottom w:val="single" w:color="5A6B7A" w:sz="1"/>
              <w:right w:val="single" w:color="5A6B7A" w:sz="1"/>
            </w:tcBorders>
            <w:shd w:fill="5A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Banks (CDC)</w:t>
            </w:r>
          </w:p>
        </w:tc>
        <w:tc>
          <w:tcPr>
            <w:tcW w:type="dxa" w:w="2413"/>
            <w:tcBorders>
              <w:top w:val="single" w:color="C9872A" w:sz="1"/>
              <w:left w:val="single" w:color="C9872A" w:sz="1"/>
              <w:bottom w:val="single" w:color="C9872A" w:sz="1"/>
              <w:right w:val="single" w:color="C9872A" w:sz="1"/>
            </w:tcBorders>
            <w:shd w:fill="C98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GarantiFi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2E"/>
                <w:sz w:val="18"/>
                <w:szCs w:val="18"/>
              </w:rPr>
              <w:t xml:space="preserve">LTV offered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2E"/>
                <w:sz w:val="18"/>
                <w:szCs w:val="18"/>
              </w:rPr>
              <w:t xml:space="preserve">20–30%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2E"/>
                <w:sz w:val="18"/>
                <w:szCs w:val="18"/>
              </w:rPr>
              <w:t xml:space="preserve">No physical collateral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872A"/>
                <w:sz w:val="18"/>
                <w:szCs w:val="18"/>
              </w:rPr>
              <w:t xml:space="preserve">50–60%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2E"/>
                <w:sz w:val="18"/>
                <w:szCs w:val="18"/>
              </w:rPr>
              <w:t xml:space="preserve">Interest rate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2E"/>
                <w:sz w:val="18"/>
                <w:szCs w:val="18"/>
              </w:rPr>
              <w:t xml:space="preserve">20–26% a.a.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2E"/>
                <w:sz w:val="18"/>
                <w:szCs w:val="18"/>
              </w:rPr>
              <w:t xml:space="preserve">40–150% a.a.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872A"/>
                <w:sz w:val="18"/>
                <w:szCs w:val="18"/>
              </w:rPr>
              <w:t xml:space="preserve">18–24% a.a.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2E"/>
                <w:sz w:val="18"/>
                <w:szCs w:val="18"/>
              </w:rPr>
              <w:t xml:space="preserve">Disbursement timeframe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2E"/>
                <w:sz w:val="18"/>
                <w:szCs w:val="18"/>
              </w:rPr>
              <w:t xml:space="preserve">1–3 business days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2E"/>
                <w:sz w:val="18"/>
                <w:szCs w:val="18"/>
              </w:rPr>
              <w:t xml:space="preserve">3–15 business days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872A"/>
                <w:sz w:val="18"/>
                <w:szCs w:val="18"/>
              </w:rPr>
              <w:t xml:space="preserve">24–72h after custody confirmation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2E"/>
                <w:sz w:val="18"/>
                <w:szCs w:val="18"/>
              </w:rPr>
              <w:t xml:space="preserve">Cobertura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2E"/>
                <w:sz w:val="18"/>
                <w:szCs w:val="18"/>
              </w:rPr>
              <w:t xml:space="preserve">~900 branches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2E"/>
                <w:sz w:val="18"/>
                <w:szCs w:val="18"/>
              </w:rPr>
              <w:t xml:space="preserve">Nacional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872A"/>
                <w:sz w:val="18"/>
                <w:szCs w:val="18"/>
              </w:rPr>
              <w:t xml:space="preserve">Nationwide (logistics + digital)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2E"/>
                <w:sz w:val="18"/>
                <w:szCs w:val="18"/>
              </w:rPr>
              <w:t xml:space="preserve">Requirement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2E"/>
                <w:sz w:val="18"/>
                <w:szCs w:val="18"/>
              </w:rPr>
              <w:t xml:space="preserve">In-person, banking hours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2E"/>
                <w:sz w:val="18"/>
                <w:szCs w:val="18"/>
              </w:rPr>
              <w:t xml:space="preserve">Credit score, proof of income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872A"/>
                <w:sz w:val="18"/>
                <w:szCs w:val="18"/>
              </w:rPr>
              <w:t xml:space="preserve">Wallet Solana + ativo avaliado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2E"/>
                <w:sz w:val="18"/>
                <w:szCs w:val="18"/>
              </w:rPr>
              <w:t xml:space="preserve">Transparency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2E"/>
                <w:sz w:val="18"/>
                <w:szCs w:val="18"/>
              </w:rPr>
              <w:t xml:space="preserve">Physical contract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2E"/>
                <w:sz w:val="18"/>
                <w:szCs w:val="18"/>
              </w:rPr>
              <w:t xml:space="preserve">Contrato digital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872A"/>
                <w:sz w:val="18"/>
                <w:szCs w:val="18"/>
              </w:rPr>
              <w:t xml:space="preserve">On-chain, auditable</w:t>
            </w:r>
          </w:p>
        </w:tc>
      </w:tr>
    </w:tbl>
    <w:p>
      <w:pPr>
        <w:spacing w:after="80" w:before="80"/>
      </w:pPr>
    </w:p>
    <w:p>
      <w:pPr>
        <w:pBdr>
          <w:left w:val="single" w:color="C9872A" w:sz="16" w:space="8"/>
        </w:pBdr>
        <w:shd w:fill="FEF3E2" w:val="clear"/>
        <w:spacing w:after="80" w:before="80"/>
        <w:ind w:left="360" w:right="360"/>
      </w:pPr>
      <w:r>
        <w:rPr>
          <w:rFonts w:ascii="Arial" w:cs="Arial" w:eastAsia="Arial" w:hAnsi="Arial"/>
          <w:b/>
          <w:bCs/>
          <w:color w:val="7A4F00"/>
          <w:sz w:val="20"/>
          <w:szCs w:val="20"/>
        </w:rPr>
        <w:t xml:space="preserve">⚠ GarantiFi does not compete with Caixa on accessibility — Caixa's pawnbroking is in-person and does not require blockchain. The differentiator lies in superior LTV (50–60% vs 13–30%), on-chain transparency, and a minimum ticket of R$8,000–12,000 for higher-value assets.</w:t>
      </w:r>
    </w:p>
    <w:p>
      <w:pPr>
        <w:pBdr>
          <w:left w:val="single" w:color="1A3A5C" w:sz="16" w:space="8"/>
        </w:pBdr>
        <w:shd w:fill="EBF0F5" w:val="clear"/>
        <w:spacing w:after="80" w:before="80"/>
        <w:ind w:left="360" w:right="360"/>
      </w:pPr>
      <w:r>
        <w:rPr>
          <w:rFonts w:ascii="Arial" w:cs="Arial" w:eastAsia="Arial" w:hAnsi="Arial"/>
          <w:i/>
          <w:iCs/>
          <w:color w:val="0F1F2E"/>
          <w:sz w:val="20"/>
          <w:szCs w:val="20"/>
        </w:rPr>
        <w:t xml:space="preserve">* Caixa advertises an LTV of 85–100%, but that percentage is based on its internal appraisal, which considers only the weight and quality of the metal — ignoring brand, design, and market value. A Rolex worth R$50,000 may be appraised at R$8,000–15,000 by Caixa. The effective loan represents 13–30% of the real market value. GarantiFi uses a certified expert appraisal close to market value and lends 50–60% of that value — yielding a result 2–3x higher for the borrower. Additional note: Caixa does NOT accept works of art as collateral — for that segment, GarantiFi has no direct competitor in Brazil.</w:t>
      </w:r>
    </w:p>
    <w:p>
      <w:pPr>
        <w:spacing w:after="8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2.2  Value Proposition by Stakeholder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For the borrower: </w:t>
      </w:r>
      <w:r>
        <w:rPr>
          <w:rFonts w:ascii="Arial" w:cs="Arial" w:eastAsia="Arial" w:hAnsi="Arial"/>
          <w:color w:val="0F1F2E"/>
          <w:sz w:val="22"/>
          <w:szCs w:val="22"/>
        </w:rPr>
        <w:t xml:space="preserve">Liquidity without selling the asset — ownership retained after repayment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F2E"/>
          <w:sz w:val="22"/>
          <w:szCs w:val="22"/>
        </w:rPr>
        <w:t xml:space="preserve">LTV of 50–60% vs 20–30% of traditional pawnbroking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F2E"/>
          <w:sz w:val="22"/>
          <w:szCs w:val="22"/>
        </w:rPr>
        <w:t xml:space="preserve">Escolha de moeda: stablecoin BRL [a definir] sem risco cambial, ou USDC com proteção contra inflação</w:t>
      </w:r>
    </w:p>
    <w:p>
      <w:pPr>
        <w:spacing w:after="40" w:before="4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For the depositor (LP): </w:t>
      </w:r>
      <w:r>
        <w:rPr>
          <w:rFonts w:ascii="Arial" w:cs="Arial" w:eastAsia="Arial" w:hAnsi="Arial"/>
          <w:color w:val="0F1F2E"/>
          <w:sz w:val="22"/>
          <w:szCs w:val="22"/>
        </w:rPr>
        <w:t xml:space="preserve">Rendimento sobre stablecoins com colateral físico real (sobrecolateralizado)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F2E"/>
          <w:sz w:val="22"/>
          <w:szCs w:val="22"/>
        </w:rPr>
        <w:t xml:space="preserve">On-chain transparency of each loan's status</w:t>
      </w:r>
    </w:p>
    <w:p>
      <w:pPr>
        <w:spacing w:after="40" w:before="4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For the custodian/appraiser: </w:t>
      </w:r>
      <w:r>
        <w:rPr>
          <w:rFonts w:ascii="Arial" w:cs="Arial" w:eastAsia="Arial" w:hAnsi="Arial"/>
          <w:color w:val="0F1F2E"/>
          <w:sz w:val="22"/>
          <w:szCs w:val="22"/>
        </w:rPr>
        <w:t xml:space="preserve">Nova fonte de demanda recorrente + digitalização do fluxo via API/webhook</w:t>
      </w:r>
    </w:p>
    <w:p>
      <w:pPr>
        <w:pBdr>
          <w:bottom w:val="single" w:color="E0D8CC" w:sz="4" w:space="1"/>
        </w:pBdr>
        <w:spacing w:after="220" w:before="2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346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03</w:t>
            </w:r>
          </w:p>
        </w:tc>
        <w:tc>
          <w:tcPr>
            <w:tcW w:type="dxa" w:w="8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2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8"/>
                <w:szCs w:val="28"/>
              </w:rPr>
              <w:t xml:space="preserve">Market Sizing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7A"/>
                <w:sz w:val="18"/>
                <w:szCs w:val="18"/>
              </w:rPr>
              <w:t xml:space="preserve">TAM / SAM / SOM with verified sources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C9872A"/>
          <w:sz w:val="22"/>
          <w:szCs w:val="22"/>
        </w:rPr>
        <w:t xml:space="preserve">TAM — Total Addressable Market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F2E"/>
          <w:sz w:val="22"/>
          <w:szCs w:val="22"/>
        </w:rPr>
        <w:t xml:space="preserve">Alternative credit in Latin America: US$ 28.2 billion (2024) → US$ 57.8 billion by 2028, CAGR ~19.6%</w:t>
      </w:r>
    </w:p>
    <w:p>
      <w:pPr>
        <w:spacing w:after="60" w:before="40"/>
      </w:pPr>
      <w:r>
        <w:rPr>
          <w:rFonts w:ascii="Arial" w:cs="Arial" w:eastAsia="Arial" w:hAnsi="Arial"/>
          <w:i/>
          <w:iCs/>
          <w:color w:val="5A6B7A"/>
          <w:sz w:val="20"/>
          <w:szCs w:val="20"/>
        </w:rPr>
        <w:t xml:space="preserve">Fonte: ResearchAndMarkets, 'Latin America Alternative Lending Databook 2024', via BusinessWire, Out 2024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F2E"/>
          <w:sz w:val="22"/>
          <w:szCs w:val="22"/>
        </w:rPr>
        <w:t xml:space="preserve">Global RWA tokenization: US$ 2T (McKinsey, conservative) to US$ 9.4T (BCG/Ripple, 2025 revision)</w:t>
      </w:r>
    </w:p>
    <w:p>
      <w:pPr>
        <w:spacing w:after="60" w:before="40"/>
      </w:pPr>
      <w:r>
        <w:rPr>
          <w:rFonts w:ascii="Arial" w:cs="Arial" w:eastAsia="Arial" w:hAnsi="Arial"/>
          <w:i/>
          <w:iCs/>
          <w:color w:val="5A6B7A"/>
          <w:sz w:val="20"/>
          <w:szCs w:val="20"/>
        </w:rPr>
        <w:t xml:space="preserve">BCG revised its estimate from US$16T (2022) to US$9.4T in 2025. Source: BCG x Ripple 'Approaching the Tokenization Tipping Point'</w:t>
      </w:r>
    </w:p>
    <w:p>
      <w:pPr>
        <w:pBdr>
          <w:left w:val="single" w:color="1A3A5C" w:sz="16" w:space="8"/>
        </w:pBdr>
        <w:shd w:fill="EBF0F5" w:val="clear"/>
        <w:spacing w:after="80" w:before="80"/>
        <w:ind w:left="360" w:right="360"/>
      </w:pPr>
      <w:r>
        <w:rPr>
          <w:rFonts w:ascii="Arial" w:cs="Arial" w:eastAsia="Arial" w:hAnsi="Arial"/>
          <w:i/>
          <w:iCs/>
          <w:color w:val="0F1F2E"/>
          <w:sz w:val="20"/>
          <w:szCs w:val="20"/>
        </w:rPr>
        <w:t xml:space="preserve">GarantiFi's TAM is the intersection of asset-backed collateralized credit and blockchain infrastructure — a subset of both markets, not the sum.</w:t>
      </w:r>
    </w:p>
    <w:p>
      <w:pPr>
        <w:spacing w:after="80" w:before="80"/>
      </w:pP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C9872A"/>
          <w:sz w:val="22"/>
          <w:szCs w:val="22"/>
        </w:rPr>
        <w:t xml:space="preserve">SAM — Serviceable Addressable Market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F2E"/>
          <w:sz w:val="22"/>
          <w:szCs w:val="22"/>
        </w:rPr>
        <w:t xml:space="preserve">Brazil pawnbroking: Caixa has held a legal monopoly since 1969. Active portfolio: R$ 2.04B (last verified public data, Caixa Integrated Report 2021). [TO BE VALIDATED against 2024/2025 Report]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F2E"/>
          <w:sz w:val="22"/>
          <w:szCs w:val="22"/>
        </w:rPr>
        <w:t xml:space="preserve">Estimated SAM: R$ 2–6 billion/year (pawnbroking + credit secured by high-value movable assets)</w:t>
      </w:r>
    </w:p>
    <w:p>
      <w:pPr>
        <w:spacing w:after="80" w:before="80"/>
      </w:pP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C9872A"/>
          <w:sz w:val="22"/>
          <w:szCs w:val="22"/>
        </w:rPr>
        <w:t xml:space="preserve">SOM — Serviceable Obtainable Market in Year 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526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Cobertura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2–3 Brazilian cities with 1 custodian partner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Average ticket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R$ 15,000 (BRZ) — minimum ticket R$ 8,000–12,000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Conservative target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200 loans · US$ 600K TVL · R$ 312K gross revenue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Base target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400 loans · US$ 1.2M TVL · R$ 623K gross revenue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Optimistic target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700 loans · US$ 2.1M TVL · R$ 1.09M gross revenue</w:t>
            </w:r>
          </w:p>
        </w:tc>
      </w:tr>
    </w:tbl>
    <w:p>
      <w:pPr>
        <w:spacing w:after="8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F2E"/>
          <w:sz w:val="22"/>
          <w:szCs w:val="22"/>
        </w:rPr>
        <w:t xml:space="preserve">Brazil: 30+ million crypto users, #5 globally (Chainalysis 2025)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F2E"/>
          <w:sz w:val="22"/>
          <w:szCs w:val="22"/>
        </w:rPr>
        <w:t xml:space="preserve">US$ 318.8 billion in crypto transacted Jul/2024–Jun/2025, ~90% in stablecoins</w:t>
      </w:r>
    </w:p>
    <w:p>
      <w:pPr>
        <w:pBdr>
          <w:bottom w:val="single" w:color="E0D8CC" w:sz="4" w:space="1"/>
        </w:pBdr>
        <w:spacing w:after="220" w:before="2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346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04</w:t>
            </w:r>
          </w:p>
        </w:tc>
        <w:tc>
          <w:tcPr>
            <w:tcW w:type="dxa" w:w="8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2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8"/>
                <w:szCs w:val="28"/>
              </w:rPr>
              <w:t xml:space="preserve">Competitive Analysis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7A"/>
                <w:sz w:val="18"/>
                <w:szCs w:val="18"/>
              </w:rPr>
              <w:t xml:space="preserve">No DeFi protocol accepts movable physical assets as collateral</w:t>
            </w:r>
          </w:p>
        </w:tc>
      </w:tr>
    </w:tbl>
    <w:p>
      <w:pPr>
        <w:spacing w:after="8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4.1  Competitor Map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300"/>
        <w:gridCol w:w="1300"/>
        <w:gridCol w:w="1300"/>
        <w:gridCol w:w="1326"/>
      </w:tblGrid>
      <w:tr>
        <w:trPr>
          <w:tblHeader/>
        </w:trPr>
        <w:tc>
          <w:tcPr>
            <w:tcW w:type="dxa" w:w="1600"/>
            <w:tcBorders>
              <w:top w:val="single" w:color="0F1F2E" w:sz="1"/>
              <w:left w:val="single" w:color="0F1F2E" w:sz="1"/>
              <w:bottom w:val="single" w:color="0F1F2E" w:sz="1"/>
              <w:right w:val="single" w:color="0F1F2E" w:sz="1"/>
            </w:tcBorders>
            <w:shd w:fill="0F1F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Player</w:t>
            </w:r>
          </w:p>
        </w:tc>
        <w:tc>
          <w:tcPr>
            <w:tcW w:type="dxa" w:w="1200"/>
            <w:tcBorders>
              <w:top w:val="single" w:color="0F1F2E" w:sz="1"/>
              <w:left w:val="single" w:color="0F1F2E" w:sz="1"/>
              <w:bottom w:val="single" w:color="0F1F2E" w:sz="1"/>
              <w:right w:val="single" w:color="0F1F2E" w:sz="1"/>
            </w:tcBorders>
            <w:shd w:fill="0F1F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300"/>
            <w:tcBorders>
              <w:top w:val="single" w:color="0F1F2E" w:sz="1"/>
              <w:left w:val="single" w:color="0F1F2E" w:sz="1"/>
              <w:bottom w:val="single" w:color="0F1F2E" w:sz="1"/>
              <w:right w:val="single" w:color="0F1F2E" w:sz="1"/>
            </w:tcBorders>
            <w:shd w:fill="0F1F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Blockchain</w:t>
            </w:r>
          </w:p>
        </w:tc>
        <w:tc>
          <w:tcPr>
            <w:tcW w:type="dxa" w:w="1300"/>
            <w:tcBorders>
              <w:top w:val="single" w:color="0F1F2E" w:sz="1"/>
              <w:left w:val="single" w:color="0F1F2E" w:sz="1"/>
              <w:bottom w:val="single" w:color="0F1F2E" w:sz="1"/>
              <w:right w:val="single" w:color="0F1F2E" w:sz="1"/>
            </w:tcBorders>
            <w:shd w:fill="0F1F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Collateral</w:t>
            </w:r>
          </w:p>
        </w:tc>
        <w:tc>
          <w:tcPr>
            <w:tcW w:type="dxa" w:w="1300"/>
            <w:tcBorders>
              <w:top w:val="single" w:color="0F1F2E" w:sz="1"/>
              <w:left w:val="single" w:color="0F1F2E" w:sz="1"/>
              <w:bottom w:val="single" w:color="0F1F2E" w:sz="1"/>
              <w:right w:val="single" w:color="0F1F2E" w:sz="1"/>
            </w:tcBorders>
            <w:shd w:fill="0F1F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Market</w:t>
            </w:r>
          </w:p>
        </w:tc>
        <w:tc>
          <w:tcPr>
            <w:tcW w:type="dxa" w:w="1326"/>
            <w:tcBorders>
              <w:top w:val="single" w:color="0F1F2E" w:sz="1"/>
              <w:left w:val="single" w:color="0F1F2E" w:sz="1"/>
              <w:bottom w:val="single" w:color="0F1F2E" w:sz="1"/>
              <w:right w:val="single" w:color="0F1F2E" w:sz="1"/>
            </w:tcBorders>
            <w:shd w:fill="0F1F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2E"/>
                <w:sz w:val="18"/>
                <w:szCs w:val="18"/>
              </w:rPr>
              <w:t xml:space="preserve">Caixa Penhor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2E"/>
                <w:sz w:val="18"/>
                <w:szCs w:val="18"/>
              </w:rPr>
              <w:t xml:space="preserve">Tradicional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2E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2E"/>
                <w:sz w:val="18"/>
                <w:szCs w:val="18"/>
              </w:rPr>
              <w:t xml:space="preserve">Bens móveis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2E"/>
                <w:sz w:val="18"/>
                <w:szCs w:val="18"/>
              </w:rPr>
              <w:t xml:space="preserve">Brasil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2E"/>
                <w:sz w:val="18"/>
                <w:szCs w:val="18"/>
              </w:rPr>
              <w:t xml:space="preserve">Monopólio legal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2E"/>
                <w:sz w:val="18"/>
                <w:szCs w:val="18"/>
              </w:rPr>
              <w:t xml:space="preserve">Creditas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2E"/>
                <w:sz w:val="18"/>
                <w:szCs w:val="18"/>
              </w:rPr>
              <w:t xml:space="preserve">Fintech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2E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2E"/>
                <w:sz w:val="18"/>
                <w:szCs w:val="18"/>
              </w:rPr>
              <w:t xml:space="preserve">Imóvel/veículo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2E"/>
                <w:sz w:val="18"/>
                <w:szCs w:val="18"/>
              </w:rPr>
              <w:t xml:space="preserve">Brasil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2E"/>
                <w:sz w:val="18"/>
                <w:szCs w:val="18"/>
              </w:rPr>
              <w:t xml:space="preserve">Ativo, &gt;R$10B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2E"/>
                <w:sz w:val="18"/>
                <w:szCs w:val="18"/>
              </w:rPr>
              <w:t xml:space="preserve">Centrifuge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2E"/>
                <w:sz w:val="18"/>
                <w:szCs w:val="18"/>
              </w:rPr>
              <w:t xml:space="preserve">DeFi (RWA)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2E"/>
                <w:sz w:val="18"/>
                <w:szCs w:val="18"/>
              </w:rPr>
              <w:t xml:space="preserve">Ethereum/Base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2E"/>
                <w:sz w:val="18"/>
                <w:szCs w:val="18"/>
              </w:rPr>
              <w:t xml:space="preserve">Invoices/credit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2E"/>
                <w:sz w:val="18"/>
                <w:szCs w:val="18"/>
              </w:rPr>
              <w:t xml:space="preserve">Global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2E"/>
                <w:sz w:val="18"/>
                <w:szCs w:val="18"/>
              </w:rPr>
              <w:t xml:space="preserve">~$250M TVL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2E"/>
                <w:sz w:val="18"/>
                <w:szCs w:val="18"/>
              </w:rPr>
              <w:t xml:space="preserve">Goldfinch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2E"/>
                <w:sz w:val="18"/>
                <w:szCs w:val="18"/>
              </w:rPr>
              <w:t xml:space="preserve">DeFi (RWA)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2E"/>
                <w:sz w:val="18"/>
                <w:szCs w:val="18"/>
              </w:rPr>
              <w:t xml:space="preserve">Ethereum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2E"/>
                <w:sz w:val="18"/>
                <w:szCs w:val="18"/>
              </w:rPr>
              <w:t xml:space="preserve">Emerg. credit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2E"/>
                <w:sz w:val="18"/>
                <w:szCs w:val="18"/>
              </w:rPr>
              <w:t xml:space="preserve">Global/LatAm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2E"/>
                <w:sz w:val="18"/>
                <w:szCs w:val="18"/>
              </w:rPr>
              <w:t xml:space="preserve">Foco institucional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2E"/>
                <w:sz w:val="18"/>
                <w:szCs w:val="18"/>
              </w:rPr>
              <w:t xml:space="preserve">Maple Finance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2E"/>
                <w:sz w:val="18"/>
                <w:szCs w:val="18"/>
              </w:rPr>
              <w:t xml:space="preserve">DeFi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2E"/>
                <w:sz w:val="18"/>
                <w:szCs w:val="18"/>
              </w:rPr>
              <w:t xml:space="preserve">Ethereum/Solana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2E"/>
                <w:sz w:val="18"/>
                <w:szCs w:val="18"/>
              </w:rPr>
              <w:t xml:space="preserve">Corp. credit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2E"/>
                <w:sz w:val="18"/>
                <w:szCs w:val="18"/>
              </w:rPr>
              <w:t xml:space="preserve">Global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2E"/>
                <w:sz w:val="18"/>
                <w:szCs w:val="18"/>
              </w:rPr>
              <w:t xml:space="preserve">Foco corporativo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2E"/>
                <w:sz w:val="18"/>
                <w:szCs w:val="18"/>
              </w:rPr>
              <w:t xml:space="preserve">TangibleDAO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2E"/>
                <w:sz w:val="18"/>
                <w:szCs w:val="18"/>
              </w:rPr>
              <w:t xml:space="preserve">DeFi (RWA)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2E"/>
                <w:sz w:val="18"/>
                <w:szCs w:val="18"/>
              </w:rPr>
              <w:t xml:space="preserve">Polygon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2E"/>
                <w:sz w:val="18"/>
                <w:szCs w:val="18"/>
              </w:rPr>
              <w:t xml:space="preserve">Tokenized real estate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2E"/>
                <w:sz w:val="18"/>
                <w:szCs w:val="18"/>
              </w:rPr>
              <w:t xml:space="preserve">Global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2E"/>
                <w:sz w:val="18"/>
                <w:szCs w:val="18"/>
              </w:rPr>
              <w:t xml:space="preserve">Real estate focus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872A"/>
                <w:sz w:val="18"/>
                <w:szCs w:val="18"/>
              </w:rPr>
              <w:t xml:space="preserve">GarantiFi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872A"/>
                <w:sz w:val="18"/>
                <w:szCs w:val="18"/>
              </w:rPr>
              <w:t xml:space="preserve">DeFi (RWA)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872A"/>
                <w:sz w:val="18"/>
                <w:szCs w:val="18"/>
              </w:rPr>
              <w:t xml:space="preserve">Solana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872A"/>
                <w:sz w:val="18"/>
                <w:szCs w:val="18"/>
              </w:rPr>
              <w:t xml:space="preserve">Movable physical assets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872A"/>
                <w:sz w:val="18"/>
                <w:szCs w:val="18"/>
              </w:rPr>
              <w:t xml:space="preserve">BR &gt; LatAm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872A"/>
                <w:sz w:val="18"/>
                <w:szCs w:val="18"/>
              </w:rPr>
              <w:t xml:space="preserve">MVP Devnet</w:t>
            </w:r>
          </w:p>
        </w:tc>
      </w:tr>
    </w:tbl>
    <w:p>
      <w:pPr>
        <w:spacing w:after="8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4.2  Posicionamento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Vantagem 1: </w:t>
      </w:r>
      <w:r>
        <w:rPr>
          <w:rFonts w:ascii="Arial" w:cs="Arial" w:eastAsia="Arial" w:hAnsi="Arial"/>
          <w:color w:val="0F1F2E"/>
          <w:sz w:val="22"/>
          <w:szCs w:val="22"/>
        </w:rPr>
        <w:t xml:space="preserve">Unexplored niche: the only DeFi protocol focused on luxury movable assets as collateral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Vantagem 2: </w:t>
      </w:r>
      <w:r>
        <w:rPr>
          <w:rFonts w:ascii="Arial" w:cs="Arial" w:eastAsia="Arial" w:hAnsi="Arial"/>
          <w:color w:val="0F1F2E"/>
          <w:sz w:val="22"/>
          <w:szCs w:val="22"/>
        </w:rPr>
        <w:t xml:space="preserve">Solana: 400ms finality and ~$0.00025/tx cost vs Ethereum ($2–20/tx)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Vantagem 3: </w:t>
      </w:r>
      <w:r>
        <w:rPr>
          <w:rFonts w:ascii="Arial" w:cs="Arial" w:eastAsia="Arial" w:hAnsi="Arial"/>
          <w:color w:val="0F1F2E"/>
          <w:sz w:val="22"/>
          <w:szCs w:val="22"/>
        </w:rPr>
        <w:t xml:space="preserve">Dual-token USDC+BRZ: localized experience for the Brazilian market</w:t>
      </w:r>
    </w:p>
    <w:p>
      <w:pPr>
        <w:spacing w:after="40" w:before="4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Desvantagem 1: </w:t>
      </w:r>
      <w:r>
        <w:rPr>
          <w:rFonts w:ascii="Arial" w:cs="Arial" w:eastAsia="Arial" w:hAnsi="Arial"/>
          <w:color w:val="0F1F2E"/>
          <w:sz w:val="22"/>
          <w:szCs w:val="22"/>
        </w:rPr>
        <w:t xml:space="preserve">Dependency on physical custody — does not scale like pure DeFi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Desvantagem 2: </w:t>
      </w:r>
      <w:r>
        <w:rPr>
          <w:rFonts w:ascii="Arial" w:cs="Arial" w:eastAsia="Arial" w:hAnsi="Arial"/>
          <w:color w:val="0F1F2E"/>
          <w:sz w:val="22"/>
          <w:szCs w:val="22"/>
        </w:rPr>
        <w:t xml:space="preserve">Zero track record — MVP on Devnet, no real loans executed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Desvantagem 3: </w:t>
      </w:r>
      <w:r>
        <w:rPr>
          <w:rFonts w:ascii="Arial" w:cs="Arial" w:eastAsia="Arial" w:hAnsi="Arial"/>
          <w:color w:val="0F1F2E"/>
          <w:sz w:val="22"/>
          <w:szCs w:val="22"/>
        </w:rPr>
        <w:t xml:space="preserve">Subjective valuation — luxury goods with no standardized market price</w:t>
      </w:r>
    </w:p>
    <w:p>
      <w:pPr>
        <w:pBdr>
          <w:bottom w:val="single" w:color="E0D8CC" w:sz="4" w:space="1"/>
        </w:pBdr>
        <w:spacing w:after="220" w:before="2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346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05</w:t>
            </w:r>
          </w:p>
        </w:tc>
        <w:tc>
          <w:tcPr>
            <w:tcW w:type="dxa" w:w="8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2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8"/>
                <w:szCs w:val="28"/>
              </w:rPr>
              <w:t xml:space="preserve">Revenue Structure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7A"/>
                <w:sz w:val="18"/>
                <w:szCs w:val="18"/>
              </w:rPr>
              <w:t xml:space="preserve">Three sources across the loan lifecycle</w:t>
            </w:r>
          </w:p>
        </w:tc>
      </w:tr>
    </w:tbl>
    <w:p>
      <w:pPr>
        <w:spacing w:after="8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5.1  Origination Fee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526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Percentual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2% a 3% sobre o principal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Momento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Charged at issuance (disbursement)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Exemplo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R$ 10,000 loan: fee of R$ 200–300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What it covers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Appraisal, logistics, cNFT minting, transaction gas fees</w:t>
            </w:r>
          </w:p>
        </w:tc>
      </w:tr>
    </w:tbl>
    <w:p>
      <w:pPr>
        <w:spacing w:after="8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5.2  Interest Spread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2A6049" w:sz="1"/>
              <w:left w:val="single" w:color="2A6049" w:sz="1"/>
              <w:bottom w:val="single" w:color="2A6049" w:sz="1"/>
              <w:right w:val="single" w:color="2A6049" w:sz="1"/>
            </w:tcBorders>
            <w:shd w:fill="2A60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526"/>
            <w:tcBorders>
              <w:top w:val="single" w:color="2A6049" w:sz="1"/>
              <w:left w:val="single" w:color="2A6049" w:sz="1"/>
              <w:bottom w:val="single" w:color="2A6049" w:sz="1"/>
              <w:right w:val="single" w:color="2A6049" w:sz="1"/>
            </w:tcBorders>
            <w:shd w:fill="2A60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Taxa ao tomador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18–24% a.a. (1.800–2.400 bps)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Cost of capital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0% bootstrap (own capital) → 6–12% p.a. with external LPs (Phase 1+)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Net spread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8–12% p.a. net margin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Interest model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Simple linear interest, accrued on-chain. Technical Spec V2.6, Section 03.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Stablecoin BRL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To be defined pre-Mainnet. Parameterized architecture — zero redeploy when choosing the mint. See Section 6.</w:t>
            </w:r>
          </w:p>
        </w:tc>
      </w:tr>
    </w:tbl>
    <w:p>
      <w:pPr>
        <w:spacing w:after="8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5.3  Liquidation Fee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526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Percentual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5% of the liquidation value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Momento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Charged only in the event of default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Objetivo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Target: defaults &lt; 5% of portfolio. Liquidation revenue is not desirable revenue.</w:t>
            </w:r>
          </w:p>
        </w:tc>
      </w:tr>
    </w:tbl>
    <w:p>
      <w:pPr>
        <w:pBdr>
          <w:bottom w:val="single" w:color="E0D8CC" w:sz="4" w:space="1"/>
        </w:pBdr>
        <w:spacing w:after="220" w:before="2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346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06</w:t>
            </w:r>
          </w:p>
        </w:tc>
        <w:tc>
          <w:tcPr>
            <w:tcW w:type="dxa" w:w="8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2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8"/>
                <w:szCs w:val="28"/>
              </w:rPr>
              <w:t xml:space="preserve">BRL Stablecoin — Open Decision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7A"/>
                <w:sz w:val="18"/>
                <w:szCs w:val="18"/>
              </w:rPr>
              <w:t xml:space="preserve">USDC defined. BRL stablecoin: criteria, candidates, and architectural impact</w:t>
            </w:r>
          </w:p>
        </w:tc>
      </w:tr>
    </w:tbl>
    <w:p>
      <w:pPr>
        <w:spacing w:after="80" w:before="80"/>
      </w:pPr>
    </w:p>
    <w:p>
      <w:pPr>
        <w:pBdr>
          <w:left w:val="single" w:color="C9872A" w:sz="16" w:space="8"/>
        </w:pBdr>
        <w:shd w:fill="FEF3E2" w:val="clear"/>
        <w:spacing w:after="80" w:before="80"/>
        <w:ind w:left="360" w:right="360"/>
      </w:pPr>
      <w:r>
        <w:rPr>
          <w:rFonts w:ascii="Arial" w:cs="Arial" w:eastAsia="Arial" w:hAnsi="Arial"/>
          <w:b/>
          <w:bCs/>
          <w:color w:val="7A4F00"/>
          <w:sz w:val="20"/>
          <w:szCs w:val="20"/>
        </w:rPr>
        <w:t xml:space="preserve">⚠ PRE-MAINNET DECISION: The BRL stablecoin has not yet been defined. The data audit (Apr/2026) identified that BRZ has a market cap of ~$34M on Solana with a daily volume of only ~$2K. The decision should be made based on the criteria below before deploying on Mainnet.</w:t>
      </w:r>
    </w:p>
    <w:p>
      <w:pPr>
        <w:spacing w:after="8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6.1  Candidatas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0"/>
        <w:gridCol w:w="2026"/>
      </w:tblGrid>
      <w:tr>
        <w:trPr>
          <w:tblHeader/>
        </w:trPr>
        <w:tc>
          <w:tcPr>
            <w:tcW w:type="dxa" w:w="2000"/>
            <w:tcBorders>
              <w:top w:val="single" w:color="0E7C7B" w:sz="1"/>
              <w:left w:val="single" w:color="0E7C7B" w:sz="1"/>
              <w:bottom w:val="single" w:color="0E7C7B" w:sz="1"/>
              <w:right w:val="single" w:color="0E7C7B" w:sz="1"/>
            </w:tcBorders>
            <w:shd w:fill="0E7C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Candidata</w:t>
            </w:r>
          </w:p>
        </w:tc>
        <w:tc>
          <w:tcPr>
            <w:tcW w:type="dxa" w:w="5000"/>
            <w:tcBorders>
              <w:top w:val="single" w:color="0E7C7B" w:sz="1"/>
              <w:left w:val="single" w:color="0E7C7B" w:sz="1"/>
              <w:bottom w:val="single" w:color="0E7C7B" w:sz="1"/>
              <w:right w:val="single" w:color="0E7C7B" w:sz="1"/>
            </w:tcBorders>
            <w:shd w:fill="0E7C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Features</w:t>
            </w:r>
          </w:p>
        </w:tc>
        <w:tc>
          <w:tcPr>
            <w:tcW w:type="dxa" w:w="2026"/>
            <w:tcBorders>
              <w:top w:val="single" w:color="0E7C7B" w:sz="1"/>
              <w:left w:val="single" w:color="0E7C7B" w:sz="1"/>
              <w:bottom w:val="single" w:color="0E7C7B" w:sz="1"/>
              <w:right w:val="single" w:color="0E7C7B" w:sz="1"/>
            </w:tcBorders>
            <w:shd w:fill="0E7C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BRZ (Transfero Group)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~$34M mcap Solana · vol ~$2K/dia · 6 decimais · BACEN corr. cambial · mint confirmado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Available — low liquidity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BRLA (BRLA Digital)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Foco B2B/institucional · menor base varejo · 6 decimais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Available — verify mint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Other / proprietary protocol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White-label solution with a partner issuer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Explore post-hackathon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DREX (BACEN)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Infraestrutura permissionada · piloto 2025/26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Unavailable in MVP</w:t>
            </w:r>
          </w:p>
        </w:tc>
      </w:tr>
    </w:tbl>
    <w:p>
      <w:pPr>
        <w:spacing w:after="8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6.2  Decision Criteria (in order of priority)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F2E"/>
          <w:sz w:val="22"/>
          <w:szCs w:val="22"/>
        </w:rPr>
        <w:t xml:space="preserve">Solana liquidity: pools with a minimum of $500K to support protocol volume (critical)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F2E"/>
          <w:sz w:val="22"/>
          <w:szCs w:val="22"/>
        </w:rPr>
        <w:t xml:space="preserve">Depeg risk: public reserve attestations + stability track record (critical)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F2E"/>
          <w:sz w:val="22"/>
          <w:szCs w:val="22"/>
        </w:rPr>
        <w:t xml:space="preserve">Decimals: must be 6 — parity with USDC, reuses calculate_interest() without modification (high)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F2E"/>
          <w:sz w:val="22"/>
          <w:szCs w:val="22"/>
        </w:rPr>
        <w:t xml:space="preserve">BACEN regulation: authorized foreign exchange correspondent or equivalent (high)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F2E"/>
          <w:sz w:val="22"/>
          <w:szCs w:val="22"/>
        </w:rPr>
        <w:t xml:space="preserve">DeFi integration: support on Kamino/Jupiter for yield on float from Section 15 (medium)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F2E"/>
          <w:sz w:val="22"/>
          <w:szCs w:val="22"/>
        </w:rPr>
        <w:t xml:space="preserve">Issuer roadmap: active liquidity expansion plan on Solana in 2026 (medium)</w:t>
      </w:r>
    </w:p>
    <w:p>
      <w:pPr>
        <w:spacing w:after="8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6.3  Impact on Technical Architecture</w:t>
      </w:r>
    </w:p>
    <w:p>
      <w:pPr>
        <w:pBdr>
          <w:left w:val="single" w:color="1A3A5C" w:sz="16" w:space="8"/>
        </w:pBdr>
        <w:shd w:fill="EBF0F5" w:val="clear"/>
        <w:spacing w:after="80" w:before="80"/>
        <w:ind w:left="360" w:right="360"/>
      </w:pPr>
      <w:r>
        <w:rPr>
          <w:rFonts w:ascii="Arial" w:cs="Arial" w:eastAsia="Arial" w:hAnsi="Arial"/>
          <w:i/>
          <w:iCs/>
          <w:color w:val="0F1F2E"/>
          <w:sz w:val="20"/>
          <w:szCs w:val="20"/>
        </w:rPr>
        <w:t xml:space="preserve">Zero code changes. The Vault Program uses seeds [b"vault_state", token_mint.key()] — simply call initialize_vault with the chosen stablecoin's mint. LoanAccount stores loan_token_mint (Pubkey). Any candidate with 6 decimals is directly compatible. (Technical Spec V2.6, Section 7.4)</w:t>
      </w:r>
    </w:p>
    <w:p>
      <w:pPr>
        <w:spacing w:after="8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6.4  Next Steps for the Decision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F2E"/>
          <w:sz w:val="22"/>
          <w:szCs w:val="22"/>
        </w:rPr>
        <w:t xml:space="preserve">Contact Transfero Group: request Solana liquidity data for 2026 and roadmap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F2E"/>
          <w:sz w:val="22"/>
          <w:szCs w:val="22"/>
        </w:rPr>
        <w:t xml:space="preserve">Contact BRLA Digital: verify Solana mint and available volume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F2E"/>
          <w:sz w:val="22"/>
          <w:szCs w:val="22"/>
        </w:rPr>
        <w:t xml:space="preserve">Test both on Devnet before deciding — zero cost, only time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F2E"/>
          <w:sz w:val="22"/>
          <w:szCs w:val="22"/>
        </w:rPr>
        <w:t xml:space="preserve">Decide before the end of the Colosseum Hackathon (May/2026)</w:t>
      </w:r>
    </w:p>
    <w:p>
      <w:pPr>
        <w:pBdr>
          <w:bottom w:val="single" w:color="E0D8CC" w:sz="4" w:space="1"/>
        </w:pBdr>
        <w:spacing w:after="220" w:before="2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346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07</w:t>
            </w:r>
          </w:p>
        </w:tc>
        <w:tc>
          <w:tcPr>
            <w:tcW w:type="dxa" w:w="8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2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8"/>
                <w:szCs w:val="28"/>
              </w:rPr>
              <w:t xml:space="preserve">Cost Structure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7A"/>
                <w:sz w:val="18"/>
                <w:szCs w:val="18"/>
              </w:rPr>
              <w:t xml:space="preserve">Variable costs per operation and fixed monthly costs</w:t>
            </w:r>
          </w:p>
        </w:tc>
      </w:tr>
    </w:tbl>
    <w:p>
      <w:pPr>
        <w:spacing w:after="8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6.1  Costs per Operation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226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Estimativa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Appraisal (expert)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(1) Online Report: remote analysis via photos + video + Ref. Number, Chrono24/WatchCharts lookup. R$180–250/report. SLA: 24h. (2) Offline Report: physical inspection + timegrapher + caliber. R$380–520/report. SLA: 48h. (3) Automatic cross-check with market median (M6 — 15% of appraiser score).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Shipping logistics (per phase)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MVP Phase 0: borrower delivers in person (R$0 GarantiFi) + return by motorcycle courier R$250–400. Phase 1: Brinks Log or Prosegur Special Cargo R$600–1,500/shipment. Phase 2 (negotiated volume): R$400–600/shipment. Note: Brinks Log and Prosegur handle jewelry and watches with armed escort + 24h tracking. No public rate card — B2B contract required.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Physical custody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0.3–1.0%/month of the custodied value. Bank vaults in SP: R$80–300/month. Specialized luxury item custody: R$200–600/month estimated. Mandatory contact with Brinks Log and Prosegur for actual quote before Mainnet.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Asset insurance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Retail: 3–5%/year (Classic Corretora, ArtOuro — multiple sources). Institutional/bulk: 1.5–3%/year. Volume + exclusive partnership: 0.8–1.5%/year. Note: 0.5% only viable at very high volume — not accessible in MVP.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Mintagem cNFT + gas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&lt; R$ 0.10 — negligible cost on Solana</w:t>
            </w:r>
          </w:p>
        </w:tc>
      </w:tr>
    </w:tbl>
    <w:p>
      <w:pPr>
        <w:spacing w:after="8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6.2  Operation Example — Low Ticket vs. Sustainable</w:t>
      </w:r>
    </w:p>
    <w:p>
      <w:pPr>
        <w:spacing w:after="60" w:before="40"/>
      </w:pPr>
      <w:r>
        <w:rPr>
          <w:rFonts w:ascii="Arial" w:cs="Arial" w:eastAsia="Arial" w:hAnsi="Arial"/>
          <w:i/>
          <w:iCs/>
          <w:color w:val="5A6B7A"/>
          <w:sz w:val="20"/>
          <w:szCs w:val="20"/>
        </w:rPr>
        <w:t xml:space="preserve">MVP model assumption: borrower delivers the asset in person to the custodian. Logistics = R$0 for the protocol. Custody and insurance calculated on the ASSET value.</w:t>
      </w:r>
    </w:p>
    <w:p>
      <w:pPr>
        <w:spacing w:after="4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142"/>
        <w:gridCol w:w="2084"/>
      </w:tblGrid>
      <w:tr>
        <w:trPr>
          <w:tblHeader/>
        </w:trPr>
        <w:tc>
          <w:tcPr>
            <w:tcW w:type="dxa" w:w="2800"/>
            <w:tcBorders>
              <w:top w:val="single" w:color="0F1F2E" w:sz="1"/>
              <w:left w:val="single" w:color="0F1F2E" w:sz="1"/>
              <w:bottom w:val="single" w:color="0F1F2E" w:sz="1"/>
              <w:right w:val="single" w:color="0F1F2E" w:sz="1"/>
            </w:tcBorders>
            <w:shd w:fill="0F1F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142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Ticket R$5K / 90d
(asset R$10K)</w:t>
            </w:r>
          </w:p>
        </w:tc>
        <w:tc>
          <w:tcPr>
            <w:tcW w:type="dxa" w:w="2084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Ticket R$20K / 120d
(asset R$40K) MVP 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2E"/>
                <w:sz w:val="18"/>
                <w:szCs w:val="18"/>
              </w:rPr>
              <w:t xml:space="preserve">Origination fee (2.5%)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F2E"/>
                <w:sz w:val="18"/>
                <w:szCs w:val="18"/>
              </w:rPr>
              <w:t xml:space="preserve">R$ 125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F2E"/>
                <w:sz w:val="18"/>
                <w:szCs w:val="18"/>
              </w:rPr>
              <w:t xml:space="preserve">R$ 500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2E"/>
                <w:sz w:val="18"/>
                <w:szCs w:val="18"/>
              </w:rPr>
              <w:t xml:space="preserve">Juros acumulados (24%a)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F2E"/>
                <w:sz w:val="18"/>
                <w:szCs w:val="18"/>
              </w:rPr>
              <w:t xml:space="preserve">R$ 295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F2E"/>
                <w:sz w:val="18"/>
                <w:szCs w:val="18"/>
              </w:rPr>
              <w:t xml:space="preserve">R$ 1.578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2E"/>
                <w:sz w:val="18"/>
                <w:szCs w:val="18"/>
              </w:rPr>
              <w:t xml:space="preserve">Gross revenue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F2E"/>
                <w:sz w:val="18"/>
                <w:szCs w:val="18"/>
              </w:rPr>
              <w:t xml:space="preserve">R$ 420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F2E"/>
                <w:sz w:val="18"/>
                <w:szCs w:val="18"/>
              </w:rPr>
              <w:t xml:space="preserve">R$ 2.078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2E"/>
                <w:sz w:val="18"/>
                <w:szCs w:val="18"/>
              </w:rPr>
              <w:t xml:space="preserve">Online Report (R$215 average)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F2E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F2E"/>
                <w:sz w:val="18"/>
                <w:szCs w:val="18"/>
              </w:rPr>
              <w:t xml:space="preserve">R$ 215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2E"/>
                <w:sz w:val="18"/>
                <w:szCs w:val="18"/>
              </w:rPr>
              <w:t xml:space="preserve">Laudo Offline (R$450 médio)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F2E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F2E"/>
                <w:sz w:val="18"/>
                <w:szCs w:val="18"/>
              </w:rPr>
              <w:t xml:space="preserve">R$ 450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2E"/>
                <w:sz w:val="18"/>
                <w:szCs w:val="18"/>
              </w:rPr>
              <w:t xml:space="preserve">Custódia 3–4 meses × 0,5%/mês × ATIVO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F2E"/>
                <w:sz w:val="18"/>
                <w:szCs w:val="18"/>
              </w:rPr>
              <w:t xml:space="preserve">R$ 150 (ativo R$10K)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F2E"/>
                <w:sz w:val="18"/>
                <w:szCs w:val="18"/>
              </w:rPr>
              <w:t xml:space="preserve">R$ 800 (ativo R$40K)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7C7B"/>
                <w:sz w:val="18"/>
                <w:szCs w:val="18"/>
              </w:rPr>
              <w:t xml:space="preserve">Seguro 2%/a × pro-rata × ATIVO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E7C7B"/>
                <w:sz w:val="18"/>
                <w:szCs w:val="18"/>
              </w:rPr>
              <w:t xml:space="preserve">R$ 49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E7C7B"/>
                <w:sz w:val="18"/>
                <w:szCs w:val="18"/>
              </w:rPr>
              <w:t xml:space="preserve">R$ 263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F2E"/>
                <w:sz w:val="18"/>
                <w:szCs w:val="18"/>
              </w:rPr>
              <w:t xml:space="preserve">Logistics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F1F2E"/>
                <w:sz w:val="18"/>
                <w:szCs w:val="18"/>
              </w:rPr>
              <w:t xml:space="preserve">R$ 0 — entrega presencial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F1F2E"/>
                <w:sz w:val="18"/>
                <w:szCs w:val="18"/>
              </w:rPr>
              <w:t xml:space="preserve">R$ 0 — entrega presencial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F2E"/>
                <w:sz w:val="18"/>
                <w:szCs w:val="18"/>
              </w:rPr>
              <w:t xml:space="preserve">Total variable cost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R$ 524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R$ 1.728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2E"/>
                <w:sz w:val="18"/>
                <w:szCs w:val="18"/>
              </w:rPr>
              <w:t xml:space="preserve">Gross margin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F2E"/>
                <w:sz w:val="18"/>
                <w:szCs w:val="18"/>
              </w:rPr>
              <w:t xml:space="preserve">– R$ 104 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F2E"/>
                <w:sz w:val="18"/>
                <w:szCs w:val="18"/>
              </w:rPr>
              <w:t xml:space="preserve">R$ 350 (16,8%) ✅</w:t>
            </w:r>
          </w:p>
        </w:tc>
      </w:tr>
    </w:tbl>
    <w:p>
      <w:pPr>
        <w:spacing w:after="40" w:before="40"/>
      </w:pPr>
    </w:p>
    <w:p>
      <w:pPr>
        <w:pBdr>
          <w:left w:val="single" w:color="1A3A5C" w:sz="16" w:space="8"/>
        </w:pBdr>
        <w:shd w:fill="EBF0F5" w:val="clear"/>
        <w:spacing w:after="80" w:before="80"/>
        <w:ind w:left="360" w:right="360"/>
      </w:pPr>
      <w:r>
        <w:rPr>
          <w:rFonts w:ascii="Arial" w:cs="Arial" w:eastAsia="Arial" w:hAnsi="Arial"/>
          <w:i/>
          <w:iCs/>
          <w:color w:val="0F1F2E"/>
          <w:sz w:val="20"/>
          <w:szCs w:val="20"/>
        </w:rPr>
        <w:t xml:space="preserve">Triangular Model V1.2: Online Report (R$215, 24h) + Offline Report (R$450, 48h) = R$665 total in cycle 1. Cycle 2+ (renewal, no report): margin rises from 16.8% to ~26%. Renewal is the model's main profitability lever.</w:t>
      </w:r>
    </w:p>
    <w:p>
      <w:pPr>
        <w:spacing w:after="8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7.1  Minimum Sustainable Ticket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026"/>
      </w:tblGrid>
      <w:tr>
        <w:trPr>
          <w:tblHeader/>
        </w:trPr>
        <w:tc>
          <w:tcPr>
            <w:tcW w:type="dxa" w:w="1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2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Minimum Ticket (break-even)</w:t>
            </w:r>
          </w:p>
        </w:tc>
        <w:tc>
          <w:tcPr>
            <w:tcW w:type="dxa" w:w="5026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Calculation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90 dias · MVP presencial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~R$ 12.000 (ativo R$24K)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With triangular model (R$665 reports). Base ticket R$20K = 16.8% margin. Cycle 2+ (renewal): ~26% margin.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90 days · Brinks Phase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~R$ 55.000 (ativo R$110K)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Brinks Log: R$600–1,500/shipment. Minimum ticket rises to R$55K (asset R$110K). Future premium option — MVP is always in-person.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2nd cycle renewal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~R$ 8.000 (ativo R$16K)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No appraisal (–R$665). Margin rises to ~26%. Operational target: &gt;60% of loans must renew.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1-Year CLV (1 + 3 renewals)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R$2.865/cliente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Cycle 1: R$350 (16.8%) + 3 renewals × R$750 = R$2,865. Target CLV/CAC ratio &gt;5×. Blended CAC R$350–500.</w:t>
            </w:r>
          </w:p>
        </w:tc>
      </w:tr>
    </w:tbl>
    <w:p>
      <w:pPr>
        <w:pBdr>
          <w:left w:val="single" w:color="1A3A5C" w:sz="16" w:space="8"/>
        </w:pBdr>
        <w:shd w:fill="EBF0F5" w:val="clear"/>
        <w:spacing w:after="80" w:before="80"/>
        <w:ind w:left="360" w:right="360"/>
      </w:pPr>
      <w:r>
        <w:rPr>
          <w:rFonts w:ascii="Arial" w:cs="Arial" w:eastAsia="Arial" w:hAnsi="Arial"/>
          <w:i/>
          <w:iCs/>
          <w:color w:val="0F1F2E"/>
          <w:sz w:val="20"/>
          <w:szCs w:val="20"/>
        </w:rPr>
        <w:t xml:space="preserve">With triangular model (R$665 in appraisals) and in-person delivery: minimum ticket R$12K (asset R$24K). Renewal (no appraisal) reduces break-even to R$8K. Brinks for tickets &gt;R$55K (premium option). min_loan_amount configured in VaultState — Spec V2.6, Section 1.3.</w:t>
      </w:r>
    </w:p>
    <w:p>
      <w:pPr>
        <w:spacing w:after="8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7.2  Year 1 Projections — Three Scenarios</w:t>
      </w:r>
    </w:p>
    <w:p>
      <w:pPr>
        <w:spacing w:after="60" w:before="40"/>
      </w:pPr>
      <w:r>
        <w:rPr>
          <w:rFonts w:ascii="Arial" w:cs="Arial" w:eastAsia="Arial" w:hAnsi="Arial"/>
          <w:i/>
          <w:iCs/>
          <w:color w:val="5A6B7A"/>
          <w:sz w:val="20"/>
          <w:szCs w:val="20"/>
        </w:rPr>
        <w:t xml:space="preserve">Assumptions: average ticket R$15,000, 120-day term, LTV 50%, default rate 5%. LOGISTICS MODEL ASSUMED: in-person MVP (borrower delivers the asset) with average variable cost of R$1,100/loan. With Brinks Phase 1, the minimum ticket rises to R$25–30K and the scenarios below deteriorate — see note after the table.</w:t>
      </w:r>
    </w:p>
    <w:p>
      <w:pPr>
        <w:spacing w:after="4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175"/>
        <w:gridCol w:w="2176"/>
        <w:gridCol w:w="2175"/>
      </w:tblGrid>
      <w:tr>
        <w:trPr>
          <w:tblHeader/>
        </w:trPr>
        <w:tc>
          <w:tcPr>
            <w:tcW w:type="dxa" w:w="2500"/>
            <w:tcBorders>
              <w:top w:val="single" w:color="0F1F2E" w:sz="1"/>
              <w:left w:val="single" w:color="0F1F2E" w:sz="1"/>
              <w:bottom w:val="single" w:color="0F1F2E" w:sz="1"/>
              <w:right w:val="single" w:color="0F1F2E" w:sz="1"/>
            </w:tcBorders>
            <w:shd w:fill="0F1F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175"/>
            <w:tcBorders>
              <w:top w:val="single" w:color="5A6B7A" w:sz="1"/>
              <w:left w:val="single" w:color="5A6B7A" w:sz="1"/>
              <w:bottom w:val="single" w:color="5A6B7A" w:sz="1"/>
              <w:right w:val="single" w:color="5A6B7A" w:sz="1"/>
            </w:tcBorders>
            <w:shd w:fill="5A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Conservador</w:t>
            </w:r>
          </w:p>
        </w:tc>
        <w:tc>
          <w:tcPr>
            <w:tcW w:type="dxa" w:w="2176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</w:t>
            </w:r>
          </w:p>
        </w:tc>
        <w:tc>
          <w:tcPr>
            <w:tcW w:type="dxa" w:w="2175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Otimista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Loans in the year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F2E"/>
                <w:sz w:val="18"/>
                <w:szCs w:val="18"/>
              </w:rPr>
              <w:t xml:space="preserve">200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F2E"/>
                <w:sz w:val="18"/>
                <w:szCs w:val="18"/>
              </w:rPr>
              <w:t xml:space="preserve">400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F2E"/>
                <w:sz w:val="18"/>
                <w:szCs w:val="18"/>
              </w:rPr>
              <w:t xml:space="preserve">700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TVL médio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F2E"/>
                <w:sz w:val="18"/>
                <w:szCs w:val="18"/>
              </w:rPr>
              <w:t xml:space="preserve">US$ 800K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F2E"/>
                <w:sz w:val="18"/>
                <w:szCs w:val="18"/>
              </w:rPr>
              <w:t xml:space="preserve">US$ 1,6M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F2E"/>
                <w:sz w:val="18"/>
                <w:szCs w:val="18"/>
              </w:rPr>
              <w:t xml:space="preserve">US$ 2,8M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Gross revenue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F2E"/>
                <w:sz w:val="18"/>
                <w:szCs w:val="18"/>
              </w:rPr>
              <w:t xml:space="preserve">R$ 416K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F2E"/>
                <w:sz w:val="18"/>
                <w:szCs w:val="18"/>
              </w:rPr>
              <w:t xml:space="preserve">R$ 831K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F2E"/>
                <w:sz w:val="18"/>
                <w:szCs w:val="18"/>
              </w:rPr>
              <w:t xml:space="preserve">R$ 1,46M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Variable costs (R$1,728/loan)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F2E"/>
                <w:sz w:val="18"/>
                <w:szCs w:val="18"/>
              </w:rPr>
              <w:t xml:space="preserve">R$ 346K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F2E"/>
                <w:sz w:val="18"/>
                <w:szCs w:val="18"/>
              </w:rPr>
              <w:t xml:space="preserve">R$ 691K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F2E"/>
                <w:sz w:val="18"/>
                <w:szCs w:val="18"/>
              </w:rPr>
              <w:t xml:space="preserve">R$ 1,21M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Custos fixos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F2E"/>
                <w:sz w:val="18"/>
                <w:szCs w:val="18"/>
              </w:rPr>
              <w:t xml:space="preserve">R$ 600K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F2E"/>
                <w:sz w:val="18"/>
                <w:szCs w:val="18"/>
              </w:rPr>
              <w:t xml:space="preserve">R$ 720K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F2E"/>
                <w:sz w:val="18"/>
                <w:szCs w:val="18"/>
              </w:rPr>
              <w:t xml:space="preserve">R$ 840K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F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 operacional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F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-R$ 530K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F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-R$ 580K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F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-R$ 590K</w:t>
            </w:r>
          </w:p>
        </w:tc>
      </w:tr>
    </w:tbl>
    <w:p>
      <w:pPr>
        <w:spacing w:after="80" w:before="80"/>
      </w:pPr>
    </w:p>
    <w:p>
      <w:pPr>
        <w:pBdr>
          <w:left w:val="single" w:color="C9872A" w:sz="16" w:space="8"/>
        </w:pBdr>
        <w:shd w:fill="FEF3E2" w:val="clear"/>
        <w:spacing w:after="80" w:before="80"/>
        <w:ind w:left="360" w:right="360"/>
      </w:pPr>
      <w:r>
        <w:rPr>
          <w:rFonts w:ascii="Arial" w:cs="Arial" w:eastAsia="Arial" w:hAnsi="Arial"/>
          <w:b/>
          <w:bCs/>
          <w:color w:val="7A4F00"/>
          <w:sz w:val="20"/>
          <w:szCs w:val="20"/>
        </w:rPr>
        <w:t xml:space="preserve">⚠ V2.6: variable cost R$1,728/loan with triangular model. Cycle 1 margin: 16.8%. Cycle 2+ (renewal, no appraisal): ~26%. Break-even: ~1,200 CCBs/year at R$20K, or ~800 with 60% renewal rate. LatAm expansion: asset-light (R$10–45K activation/country, zero incremental fixed cost). Year 2: 800 CCBs projected.</w:t>
      </w:r>
    </w:p>
    <w:p>
      <w:pPr>
        <w:spacing w:after="8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7.3  Break-Even Levers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2A6049" w:sz="1"/>
              <w:left w:val="single" w:color="2A6049" w:sz="1"/>
              <w:bottom w:val="single" w:color="2A6049" w:sz="1"/>
              <w:right w:val="single" w:color="2A6049" w:sz="1"/>
            </w:tcBorders>
            <w:shd w:fill="2A60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Alavanca</w:t>
            </w:r>
          </w:p>
        </w:tc>
        <w:tc>
          <w:tcPr>
            <w:tcW w:type="dxa" w:w="6226"/>
            <w:tcBorders>
              <w:top w:val="single" w:color="2A6049" w:sz="1"/>
              <w:left w:val="single" w:color="2A6049" w:sz="1"/>
              <w:bottom w:val="single" w:color="2A6049" w:sz="1"/>
              <w:right w:val="single" w:color="2A6049" w:sz="1"/>
            </w:tcBorders>
            <w:shd w:fill="2A60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Average ticket R$25,000+ with in-person delivery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Margin rises from 29.6% (R$20K) to 32.5% (R$25K). Incremental return — the strongest lever remains renewal, not a higher ticket.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Custody negotiated by volume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Custody cost can drop 40–60% at scale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Renewal (cycle 2+ without appraisal)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Eliminates online + offline appraisal (R$665) → margin rises from 16.8% to ~26%. Each renewal adds R$665 in margin. With 60% renewal rate, break-even drops from 1,200 to ~800 CCBs/year. Target: &gt;60% renewal rate.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Liquidation revenue (defaults)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5% of sale value covers costs and generates margin</w:t>
            </w:r>
          </w:p>
        </w:tc>
      </w:tr>
    </w:tbl>
    <w:p>
      <w:pPr>
        <w:pBdr>
          <w:left w:val="single" w:color="1A3A5C" w:sz="16" w:space="8"/>
        </w:pBdr>
        <w:shd w:fill="EBF0F5" w:val="clear"/>
        <w:spacing w:after="80" w:before="80"/>
        <w:ind w:left="360" w:right="360"/>
      </w:pPr>
      <w:r>
        <w:rPr>
          <w:rFonts w:ascii="Arial" w:cs="Arial" w:eastAsia="Arial" w:hAnsi="Arial"/>
          <w:i/>
          <w:iCs/>
          <w:color w:val="0F1F2E"/>
          <w:sz w:val="20"/>
          <w:szCs w:val="20"/>
        </w:rPr>
        <w:t xml:space="preserve">With in-person delivery and triangular model: cycle 1 break-even = R$12K; cycle 2+ (renewal) = R$8K. Ticket R$20K = 16.8% margin (cycle 1) and ~26% (cycle 2+). 1-year CLV: R$2,865.</w:t>
      </w:r>
    </w:p>
    <w:p>
      <w:pPr>
        <w:pBdr>
          <w:left w:val="single" w:color="1A3A5C" w:sz="16" w:space="8"/>
        </w:pBdr>
        <w:shd w:fill="EBF0F5" w:val="clear"/>
        <w:spacing w:after="80" w:before="80"/>
        <w:ind w:left="360" w:right="360"/>
      </w:pPr>
      <w:r>
        <w:rPr>
          <w:rFonts w:ascii="Arial" w:cs="Arial" w:eastAsia="Arial" w:hAnsi="Arial"/>
          <w:i/>
          <w:iCs/>
          <w:color w:val="0F1F2E"/>
          <w:sz w:val="20"/>
          <w:szCs w:val="20"/>
        </w:rPr>
        <w:t xml:space="preserve">NPA (National Pawnbrokers Association): ~85% of pawn loans are redeemed, repeat borrowing is the industry standard. V2.6 assumes 60% renewal (conservative target). 1-year CLV: R$2,865 (cycle 1: R$350 + 3 renewals × R$750).</w:t>
      </w:r>
    </w:p>
    <w:p>
      <w:pPr>
        <w:pBdr>
          <w:bottom w:val="single" w:color="E0D8CC" w:sz="4" w:space="1"/>
        </w:pBdr>
        <w:spacing w:after="220" w:before="2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346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09</w:t>
            </w:r>
          </w:p>
        </w:tc>
        <w:tc>
          <w:tcPr>
            <w:tcW w:type="dxa" w:w="8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2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8"/>
                <w:szCs w:val="28"/>
              </w:rPr>
              <w:t xml:space="preserve">Collateral Categories by Phase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7A"/>
                <w:sz w:val="18"/>
                <w:szCs w:val="18"/>
              </w:rPr>
              <w:t xml:space="preserve">What to accept and when — operational vs. technical</w:t>
            </w:r>
          </w:p>
        </w:tc>
      </w:tr>
    </w:tbl>
    <w:p>
      <w:pPr>
        <w:spacing w:after="80" w:before="80"/>
      </w:pPr>
    </w:p>
    <w:p>
      <w:pPr>
        <w:spacing w:after="100" w:before="60"/>
      </w:pPr>
      <w:r>
        <w:rPr>
          <w:rFonts w:ascii="Arial" w:cs="Arial" w:eastAsia="Arial" w:hAnsi="Arial"/>
          <w:color w:val="0F1F2E"/>
          <w:sz w:val="22"/>
          <w:szCs w:val="22"/>
        </w:rPr>
        <w:t xml:space="preserve">The GarantiFi protocol technically accepts any tokenizable asset as a cNFT. But operationally, each category requires different appraisers, custody, and market liquidity. Expansion should follow operational maturity, not just technical capability.</w:t>
      </w:r>
    </w:p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1600"/>
        <w:gridCol w:w="1400"/>
        <w:gridCol w:w="1200"/>
        <w:gridCol w:w="1826"/>
      </w:tblGrid>
      <w:tr>
        <w:trPr>
          <w:tblHeader/>
        </w:trPr>
        <w:tc>
          <w:tcPr>
            <w:tcW w:type="dxa" w:w="1600"/>
            <w:tcBorders>
              <w:top w:val="single" w:color="0F1F2E" w:sz="1"/>
              <w:left w:val="single" w:color="0F1F2E" w:sz="1"/>
              <w:bottom w:val="single" w:color="0F1F2E" w:sz="1"/>
              <w:right w:val="single" w:color="0F1F2E" w:sz="1"/>
            </w:tcBorders>
            <w:shd w:fill="0F1F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400"/>
            <w:tcBorders>
              <w:top w:val="single" w:color="0F1F2E" w:sz="1"/>
              <w:left w:val="single" w:color="0F1F2E" w:sz="1"/>
              <w:bottom w:val="single" w:color="0F1F2E" w:sz="1"/>
              <w:right w:val="single" w:color="0F1F2E" w:sz="1"/>
            </w:tcBorders>
            <w:shd w:fill="0F1F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Appraisal</w:t>
            </w:r>
          </w:p>
        </w:tc>
        <w:tc>
          <w:tcPr>
            <w:tcW w:type="dxa" w:w="1600"/>
            <w:tcBorders>
              <w:top w:val="single" w:color="0F1F2E" w:sz="1"/>
              <w:left w:val="single" w:color="0F1F2E" w:sz="1"/>
              <w:bottom w:val="single" w:color="0F1F2E" w:sz="1"/>
              <w:right w:val="single" w:color="0F1F2E" w:sz="1"/>
            </w:tcBorders>
            <w:shd w:fill="0F1F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Liquidez</w:t>
            </w:r>
          </w:p>
        </w:tc>
        <w:tc>
          <w:tcPr>
            <w:tcW w:type="dxa" w:w="1400"/>
            <w:tcBorders>
              <w:top w:val="single" w:color="0F1F2E" w:sz="1"/>
              <w:left w:val="single" w:color="0F1F2E" w:sz="1"/>
              <w:bottom w:val="single" w:color="0F1F2E" w:sz="1"/>
              <w:right w:val="single" w:color="0F1F2E" w:sz="1"/>
            </w:tcBorders>
            <w:shd w:fill="0F1F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Custody</w:t>
            </w:r>
          </w:p>
        </w:tc>
        <w:tc>
          <w:tcPr>
            <w:tcW w:type="dxa" w:w="1200"/>
            <w:tcBorders>
              <w:top w:val="single" w:color="0F1F2E" w:sz="1"/>
              <w:left w:val="single" w:color="0F1F2E" w:sz="1"/>
              <w:bottom w:val="single" w:color="0F1F2E" w:sz="1"/>
              <w:right w:val="single" w:color="0F1F2E" w:sz="1"/>
            </w:tcBorders>
            <w:shd w:fill="0F1F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Viable LTV</w:t>
            </w:r>
          </w:p>
        </w:tc>
        <w:tc>
          <w:tcPr>
            <w:tcW w:type="dxa" w:w="1826"/>
            <w:tcBorders>
              <w:top w:val="single" w:color="0F1F2E" w:sz="1"/>
              <w:left w:val="single" w:color="0F1F2E" w:sz="1"/>
              <w:bottom w:val="single" w:color="0F1F2E" w:sz="1"/>
              <w:right w:val="single" w:color="0F1F2E" w:sz="1"/>
            </w:tcBorders>
            <w:shd w:fill="0F1F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Luxury watches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Chrono24/WatchBox — active and standardizable market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Alta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Cofre simples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50–60%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MVP 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Jewelry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Metal + gemology (GIA) — semi-standardizable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Cofre simples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40–55%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MVP 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Arte (quadros, esculturas)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Specialist appraiser + provenance + auction history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Low–medium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Climatizada — umidade/luz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30–45%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872A"/>
                <w:sz w:val="18"/>
                <w:szCs w:val="18"/>
              </w:rPr>
              <w:t xml:space="preserve">Phase 1 ⚠️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Vehicles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FIPE table — standardizable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Alta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Garagem segura + seguro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50–65%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872A"/>
                <w:sz w:val="18"/>
                <w:szCs w:val="18"/>
              </w:rPr>
              <w:t xml:space="preserve">Phase 1 ⚠️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High-value NFTs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On-chain oracles (collection floor price)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Variable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On-chain (PDA)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30–50%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F2E"/>
                <w:sz w:val="18"/>
                <w:szCs w:val="18"/>
              </w:rPr>
              <w:t xml:space="preserve">Phase 2 (hybrid collateral)</w:t>
            </w:r>
          </w:p>
        </w:tc>
      </w:tr>
    </w:tbl>
    <w:p>
      <w:pPr>
        <w:spacing w:after="80" w:before="80"/>
      </w:pPr>
    </w:p>
    <w:p>
      <w:pPr>
        <w:pBdr>
          <w:left w:val="single" w:color="1A3A5C" w:sz="16" w:space="8"/>
        </w:pBdr>
        <w:shd w:fill="EBF0F5" w:val="clear"/>
        <w:spacing w:after="80" w:before="80"/>
        <w:ind w:left="360" w:right="360"/>
      </w:pPr>
      <w:r>
        <w:rPr>
          <w:rFonts w:ascii="Arial" w:cs="Arial" w:eastAsia="Arial" w:hAnsi="Arial"/>
          <w:i/>
          <w:iCs/>
          <w:color w:val="0F1F2E"/>
          <w:sz w:val="20"/>
          <w:szCs w:val="20"/>
        </w:rPr>
        <w:t xml:space="preserve">Arte: a Caixa NÃO aceita obras de arte como colateral. Para esse segmento o GarantiFi não tem competidor direto no Brasil — mas exige avaliador especializado (ABEF ou equivalente), custódia climatizada e LTV conservador (30–45%). Incorporar somente após validar parceiro avaliador e custodiante com câmara climatizada.</w:t>
      </w:r>
    </w:p>
    <w:p>
      <w:pPr>
        <w:pBdr>
          <w:left w:val="single" w:color="C9872A" w:sz="16" w:space="8"/>
        </w:pBdr>
        <w:shd w:fill="FEF3E2" w:val="clear"/>
        <w:spacing w:after="80" w:before="80"/>
        <w:ind w:left="360" w:right="360"/>
      </w:pPr>
      <w:r>
        <w:rPr>
          <w:rFonts w:ascii="Arial" w:cs="Arial" w:eastAsia="Arial" w:hAnsi="Arial"/>
          <w:b/>
          <w:bCs/>
          <w:color w:val="7A4F00"/>
          <w:sz w:val="20"/>
          <w:szCs w:val="20"/>
        </w:rPr>
        <w:t xml:space="preserve">⚠ Arte e veículos no MVP seria erro operacional, não técnico. O contrato Anchor aceita qualquer mint de cNFT — o gargalo é o laudo, o custodiante especializado e a liquidez de mercado para execução de default. Expansão de categoria = expansão de parceiro, não de código.</w:t>
      </w:r>
    </w:p>
    <w:p>
      <w:pPr>
        <w:pBdr>
          <w:bottom w:val="single" w:color="E0D8CC" w:sz="4" w:space="1"/>
        </w:pBdr>
        <w:spacing w:after="220" w:before="2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346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09</w:t>
            </w:r>
          </w:p>
        </w:tc>
        <w:tc>
          <w:tcPr>
            <w:tcW w:type="dxa" w:w="8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2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8"/>
                <w:szCs w:val="28"/>
              </w:rPr>
              <w:t xml:space="preserve">Arquitetura Operacional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7A"/>
                <w:sz w:val="18"/>
                <w:szCs w:val="18"/>
              </w:rPr>
              <w:t xml:space="preserve">Complete loan flow and required partnerships</w:t>
            </w:r>
          </w:p>
        </w:tc>
      </w:tr>
    </w:tbl>
    <w:p>
      <w:pPr>
        <w:spacing w:after="8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8.1  Loan Flow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C9872A"/>
          <w:sz w:val="22"/>
          <w:szCs w:val="22"/>
        </w:rPr>
        <w:t xml:space="preserve">Phase 1 — Assessment and Onboarding (off-chain, 1–3 days)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F2E"/>
          <w:sz w:val="22"/>
          <w:szCs w:val="22"/>
        </w:rPr>
        <w:t xml:space="preserve">Borrower submits asset via dApp (photos, description, history)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F2E"/>
          <w:sz w:val="22"/>
          <w:szCs w:val="22"/>
        </w:rPr>
        <w:t xml:space="preserve">Certified appraiser issues report with market value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F2E"/>
          <w:sz w:val="22"/>
          <w:szCs w:val="22"/>
        </w:rPr>
        <w:t xml:space="preserve">Admin reviews report and defines parameters (LTV, rate, term)</w:t>
      </w:r>
    </w:p>
    <w:p>
      <w:pPr>
        <w:spacing w:after="80" w:before="80"/>
      </w:pP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C9872A"/>
          <w:sz w:val="22"/>
          <w:szCs w:val="22"/>
        </w:rPr>
        <w:t xml:space="preserve">Phase 2 — Custody (off-chain → on-chain, 1–2 days)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F2E"/>
          <w:sz w:val="22"/>
          <w:szCs w:val="22"/>
        </w:rPr>
        <w:t xml:space="preserve">Tomador envia ativo ao custodiante (Brinks ou parceiro similar)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F2E"/>
          <w:sz w:val="22"/>
          <w:szCs w:val="22"/>
        </w:rPr>
        <w:t xml:space="preserve">Custodiante confirma recebimento e integridade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F2E"/>
          <w:sz w:val="22"/>
          <w:szCs w:val="22"/>
        </w:rPr>
        <w:t xml:space="preserve">Admin mints cNFT with report hash in metadata (IPFS/Arweave)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F2E"/>
          <w:sz w:val="22"/>
          <w:szCs w:val="22"/>
        </w:rPr>
        <w:t xml:space="preserve">Admin confirms custody on-chain (status: PENDING_CUSTODY → ACTIVE)</w:t>
      </w:r>
    </w:p>
    <w:p>
      <w:pPr>
        <w:spacing w:after="80" w:before="80"/>
      </w:pP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C9872A"/>
          <w:sz w:val="22"/>
          <w:szCs w:val="22"/>
        </w:rPr>
        <w:t xml:space="preserve">Phase 3 — Disbursement (on-chain, &lt; 1 minute)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F2E"/>
          <w:sz w:val="22"/>
          <w:szCs w:val="22"/>
        </w:rPr>
        <w:t xml:space="preserve">Loan Program creates LoanAccount with 15 fields (includes loan_token_mint and loan_token_symbol [u8;4])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F2E"/>
          <w:sz w:val="22"/>
          <w:szCs w:val="22"/>
        </w:rPr>
        <w:t xml:space="preserve">cNFT transferred to contract PDA (on-chain custody with CPI caller validation)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F2E"/>
          <w:sz w:val="22"/>
          <w:szCs w:val="22"/>
        </w:rPr>
        <w:t xml:space="preserve">Vault Program disburses USDC or BRL stablecoin [TBD] to the borrower via CPI</w:t>
      </w:r>
    </w:p>
    <w:p>
      <w:pPr>
        <w:spacing w:after="80" w:before="80"/>
      </w:pP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C9872A"/>
          <w:sz w:val="22"/>
          <w:szCs w:val="22"/>
        </w:rPr>
        <w:t xml:space="preserve">Phase 4 — Active Period (on-chain, loan duration)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F2E"/>
          <w:sz w:val="22"/>
          <w:szCs w:val="22"/>
        </w:rPr>
        <w:t xml:space="preserve">Juros acumulam incrementalmente via last_accrual_ts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F2E"/>
          <w:sz w:val="22"/>
          <w:szCs w:val="22"/>
        </w:rPr>
        <w:t xml:space="preserve">Cron bot verifica vencimentos a cada hora (mark_overdue)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F2E"/>
          <w:sz w:val="22"/>
          <w:szCs w:val="22"/>
        </w:rPr>
        <w:t xml:space="preserve">BRZ depeg monitor runs every 5 minutes via Jupiter Price API</w:t>
      </w:r>
    </w:p>
    <w:p>
      <w:pPr>
        <w:spacing w:after="80" w:before="80"/>
      </w:pP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C9872A"/>
          <w:sz w:val="22"/>
          <w:szCs w:val="22"/>
        </w:rPr>
        <w:t xml:space="preserve">Phase 5 — Closure (three paths)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Full Repayment: </w:t>
      </w:r>
      <w:r>
        <w:rPr>
          <w:rFonts w:ascii="Arial" w:cs="Arial" w:eastAsia="Arial" w:hAnsi="Arial"/>
          <w:color w:val="0F1F2E"/>
          <w:sz w:val="22"/>
          <w:szCs w:val="22"/>
        </w:rPr>
        <w:t xml:space="preserve">Borrower pays principal + interest → cNFT burned → asset released for redemption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Renewal: </w:t>
      </w:r>
      <w:r>
        <w:rPr>
          <w:rFonts w:ascii="Arial" w:cs="Arial" w:eastAsia="Arial" w:hAnsi="Arial"/>
          <w:color w:val="0F1F2E"/>
          <w:sz w:val="22"/>
          <w:szCs w:val="22"/>
        </w:rPr>
        <w:t xml:space="preserve">Borrower pays only accrued interest + late fees → term extended → NFT remains in PDA. No new appraisal/logistics. (Spec V2.6, Section 2.5)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Default: </w:t>
      </w:r>
      <w:r>
        <w:rPr>
          <w:rFonts w:ascii="Arial" w:cs="Arial" w:eastAsia="Arial" w:hAnsi="Arial"/>
          <w:color w:val="0F1F2E"/>
          <w:sz w:val="22"/>
          <w:szCs w:val="22"/>
        </w:rPr>
        <w:t xml:space="preserve">Admin executes liquidation via Squads 2/3 → NFT to treasury → sale of physical asset (see Section 9)</w:t>
      </w:r>
    </w:p>
    <w:p>
      <w:pPr>
        <w:spacing w:after="8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8.2  Required Operational Partnerships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400"/>
        <w:gridCol w:w="3226"/>
      </w:tblGrid>
      <w:tr>
        <w:trPr>
          <w:tblHeader/>
        </w:trPr>
        <w:tc>
          <w:tcPr>
            <w:tcW w:type="dxa" w:w="2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Parceiro</w:t>
            </w:r>
          </w:p>
        </w:tc>
        <w:tc>
          <w:tcPr>
            <w:tcW w:type="dxa" w:w="2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14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226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Criticidade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Custodiante (Brinks/Loomis)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Vault storage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A prospectar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Critical — no custodian, no operation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Appraiser (watches)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Authenticity and value reports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A prospectar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Avaliador (joias)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Gemological reports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A prospectar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Transportadora segurada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Asset shipping logistics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A prospectar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Seguradora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Cobertura contra perda/roubo/dano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A prospectar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Alta</w:t>
            </w:r>
          </w:p>
        </w:tc>
      </w:tr>
    </w:tbl>
    <w:p>
      <w:pPr>
        <w:pBdr>
          <w:left w:val="single" w:color="C9872A" w:sz="16" w:space="8"/>
        </w:pBdr>
        <w:shd w:fill="FEF3E2" w:val="clear"/>
        <w:spacing w:after="80" w:before="80"/>
        <w:ind w:left="360" w:right="360"/>
      </w:pPr>
      <w:r>
        <w:rPr>
          <w:rFonts w:ascii="Arial" w:cs="Arial" w:eastAsia="Arial" w:hAnsi="Arial"/>
          <w:b/>
          <w:bCs/>
          <w:color w:val="7A4F00"/>
          <w:sz w:val="20"/>
          <w:szCs w:val="20"/>
        </w:rPr>
        <w:t xml:space="preserve">⚠ No operational partnership has been confirmed. This is the biggest bottleneck to moving from MVP to real operations. Prioritize signing 1 custodian and 1 appraiser before any fundraising.</w:t>
      </w:r>
    </w:p>
    <w:p>
      <w:pPr>
        <w:pBdr>
          <w:bottom w:val="single" w:color="E0D8CC" w:sz="4" w:space="1"/>
        </w:pBdr>
        <w:spacing w:after="220" w:before="220"/>
      </w:pPr>
    </w:p>
    <w:p>
      <w:pPr>
        <w:pBdr>
          <w:bottom w:val="single" w:color="E0D8CC" w:sz="4" w:space="1"/>
        </w:pBdr>
        <w:spacing w:after="220" w:before="2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346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09b</w:t>
            </w:r>
          </w:p>
        </w:tc>
        <w:tc>
          <w:tcPr>
            <w:tcW w:type="dxa" w:w="8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2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8"/>
                <w:szCs w:val="28"/>
              </w:rPr>
              <w:t xml:space="preserve">Note — Logistics: A Friction Point in the Customer Journey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7A"/>
                <w:sz w:val="18"/>
                <w:szCs w:val="18"/>
              </w:rPr>
              <w:t xml:space="preserve">Why the in-person model was chosen and when that changes</w:t>
            </w:r>
          </w:p>
        </w:tc>
      </w:tr>
    </w:tbl>
    <w:p>
      <w:pPr>
        <w:spacing w:after="80" w:before="80"/>
      </w:pPr>
    </w:p>
    <w:p>
      <w:pPr>
        <w:spacing w:after="100" w:before="60"/>
      </w:pPr>
      <w:r>
        <w:rPr>
          <w:rFonts w:ascii="Arial" w:cs="Arial" w:eastAsia="Arial" w:hAnsi="Arial"/>
          <w:color w:val="0F1F2E"/>
          <w:sz w:val="22"/>
          <w:szCs w:val="22"/>
        </w:rPr>
        <w:t xml:space="preserve">The MVP model assumes the borrower delivers the asset in person to the custodian (same operational model as Caixa Penhor). This decision is economically sound — it eliminates the primary variable cost — but creates a friction point that needs to be actively monitored in customer acquisition.</w:t>
      </w:r>
    </w:p>
    <w:p>
      <w:pPr>
        <w:spacing w:after="8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Why in-person delivery works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0E7C7B" w:sz="1"/>
              <w:left w:val="single" w:color="0E7C7B" w:sz="1"/>
              <w:bottom w:val="single" w:color="0E7C7B" w:sz="1"/>
              <w:right w:val="single" w:color="0E7C7B" w:sz="1"/>
            </w:tcBorders>
            <w:shd w:fill="0E7C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Argumento</w:t>
            </w:r>
          </w:p>
        </w:tc>
        <w:tc>
          <w:tcPr>
            <w:tcW w:type="dxa" w:w="7026"/>
            <w:tcBorders>
              <w:top w:val="single" w:color="0E7C7B" w:sz="1"/>
              <w:left w:val="single" w:color="0E7C7B" w:sz="1"/>
              <w:bottom w:val="single" w:color="0E7C7B" w:sz="1"/>
              <w:right w:val="single" w:color="0E7C7B" w:sz="1"/>
            </w:tcBorders>
            <w:shd w:fill="0E7C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Validated at scale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Caixa Penhor operates 100% in-person across Brazil with millions of active contracts. This is not a limitation — it is a characteristic of the segment.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High-ticket customers will travel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Rolex owners with R$50K+ assets have the mobility and motivation to travel to SP for a R$25K loan. The amount justifies the trip.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Economic impact is decisive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With R$0 logistics: 29.6% margin, minimum ticket R$7K. With Brinks: negative margin up to R$48K ticket. It's not a choice — it's an MVP necessity.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Centralized custodian at the start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Phase 0 operates in SP only. The borrower goes to the custodian, which can be a partner jewelry store or specialized vault in the same city.</w:t>
            </w:r>
          </w:p>
        </w:tc>
      </w:tr>
    </w:tbl>
    <w:p>
      <w:pPr>
        <w:spacing w:after="8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Risks and friction points to monitor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C9872A" w:sz="1"/>
              <w:left w:val="single" w:color="C9872A" w:sz="1"/>
              <w:bottom w:val="single" w:color="C9872A" w:sz="1"/>
              <w:right w:val="single" w:color="C9872A" w:sz="1"/>
            </w:tcBorders>
            <w:shd w:fill="C98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7026"/>
            <w:tcBorders>
              <w:top w:val="single" w:color="C9872A" w:sz="1"/>
              <w:left w:val="single" w:color="C9872A" w:sz="1"/>
              <w:bottom w:val="single" w:color="C9872A" w:sz="1"/>
              <w:right w:val="single" w:color="C9872A" w:sz="1"/>
            </w:tcBorders>
            <w:shd w:fill="C98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 / What to measure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Resistance at lower ticket sizes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Borrowers at R$8–15K may have greater resistance to traveling than the loan amount justifies. Monitor conversion rate by ticket range.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Geographic expansion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Phase 0 only works in SP. To expand to other cities without armored logistics, a partner custodian is required in each market.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Customer profile outside SP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Clients in BH, RJ, POA with high-value assets may not be willing to travel. This limits Phase 0's TAM to the custodian's market.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Digital vs. physical friction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The protocol is on-chain, but asset delivery is in person. This dissonance may generate objections during onboarding — address it in product communications.</w:t>
            </w:r>
          </w:p>
        </w:tc>
      </w:tr>
    </w:tbl>
    <w:p>
      <w:pPr>
        <w:spacing w:after="8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When armored logistics (Brinks/Prosegur) makes sense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F2E"/>
          <w:sz w:val="22"/>
          <w:szCs w:val="22"/>
        </w:rPr>
        <w:t xml:space="preserve">Phase 1+: when the average ticket has been validated above R$48K (asset ≥ R$96K)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F2E"/>
          <w:sz w:val="22"/>
          <w:szCs w:val="22"/>
        </w:rPr>
        <w:t xml:space="preserve">High-value VIP clients who pay for convenience — as a premium convenience product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F2E"/>
          <w:sz w:val="22"/>
          <w:szCs w:val="22"/>
        </w:rPr>
        <w:t xml:space="preserve">National expansion: partnership with Brinks Log covers 2,000+ municipalities; eliminates the need for a local custodian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F2E"/>
          <w:sz w:val="22"/>
          <w:szCs w:val="22"/>
        </w:rPr>
        <w:t xml:space="preserve">Never as the MVP default — armored logistics shifts the minimum ticket from R$7K to R$48K</w:t>
      </w:r>
    </w:p>
    <w:p>
      <w:pPr>
        <w:spacing w:after="80" w:before="80"/>
      </w:pPr>
    </w:p>
    <w:p>
      <w:pPr>
        <w:pBdr>
          <w:left w:val="single" w:color="C9872A" w:sz="16" w:space="8"/>
        </w:pBdr>
        <w:shd w:fill="FEF3E2" w:val="clear"/>
        <w:spacing w:after="80" w:before="80"/>
        <w:ind w:left="360" w:right="360"/>
      </w:pPr>
      <w:r>
        <w:rPr>
          <w:rFonts w:ascii="Arial" w:cs="Arial" w:eastAsia="Arial" w:hAnsi="Arial"/>
          <w:b/>
          <w:bCs/>
          <w:color w:val="7A4F00"/>
          <w:sz w:val="20"/>
          <w:szCs w:val="20"/>
        </w:rPr>
        <w:t xml:space="preserve">⚠ Phase 0 tracking metric: % of qualified leads who drop off at the point of scheduling in-person delivery. If it exceeds 30%, consider accelerating Phase 1 logistics or exploring a local armored courier pickup model (R$150–250, covers assets up to R$30K with separately contracted insurance).</w:t>
      </w:r>
    </w:p>
    <w:p>
      <w:pPr>
        <w:pBdr>
          <w:bottom w:val="single" w:color="E0D8CC" w:sz="4" w:space="1"/>
        </w:pBdr>
        <w:spacing w:after="220" w:before="2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346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10</w:t>
            </w:r>
          </w:p>
        </w:tc>
        <w:tc>
          <w:tcPr>
            <w:tcW w:type="dxa" w:w="8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2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8"/>
                <w:szCs w:val="28"/>
              </w:rPr>
              <w:t xml:space="preserve">Liquidation Process (Default)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7A"/>
                <w:sz w:val="18"/>
                <w:szCs w:val="18"/>
              </w:rPr>
              <w:t xml:space="preserve">Flow, timeline, and distribution waterfall</w:t>
            </w:r>
          </w:p>
        </w:tc>
      </w:tr>
    </w:tbl>
    <w:p>
      <w:pPr>
        <w:spacing w:after="8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9.1  Liquidation Timeline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0F1F2E" w:sz="1"/>
              <w:left w:val="single" w:color="0F1F2E" w:sz="1"/>
              <w:bottom w:val="single" w:color="0F1F2E" w:sz="1"/>
              <w:right w:val="single" w:color="0F1F2E" w:sz="1"/>
            </w:tcBorders>
            <w:shd w:fill="0F1F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6026"/>
            <w:tcBorders>
              <w:top w:val="single" w:color="0F1F2E" w:sz="1"/>
              <w:left w:val="single" w:color="0F1F2E" w:sz="1"/>
              <w:bottom w:val="single" w:color="0F1F2E" w:sz="1"/>
              <w:right w:val="single" w:color="0F1F2E" w:sz="1"/>
            </w:tcBorders>
            <w:shd w:fill="0F1F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Estimated Timeframe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Vencimento → mark_overdue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&lt; 1 hour (automatic, cron bot)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Grace period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30 dias · mora 1,5% a.m. proporcional ao segundo (Spec V2.6)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Default decision (multisig)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1–3 business days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Asset preparation for sale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5–10 business days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Asset sale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15–90 days (watches: 15–30d / custom jewelry: 60–90d+)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Total: maturity to recovery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51–134 dias</w:t>
            </w:r>
          </w:p>
        </w:tc>
      </w:tr>
    </w:tbl>
    <w:p>
      <w:pPr>
        <w:spacing w:after="8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9.2  Distribution Waterfall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F2E"/>
          <w:sz w:val="22"/>
          <w:szCs w:val="22"/>
        </w:rPr>
        <w:t xml:space="preserve">Loan principal — returned to the Vault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F2E"/>
          <w:sz w:val="22"/>
          <w:szCs w:val="22"/>
        </w:rPr>
        <w:t xml:space="preserve">Juros acumulados + mora — devolvido ao Vault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F2E"/>
          <w:sz w:val="22"/>
          <w:szCs w:val="22"/>
        </w:rPr>
        <w:t xml:space="preserve">Liquidation costs (custody, sale, logistics) — retained by the protocol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F2E"/>
          <w:sz w:val="22"/>
          <w:szCs w:val="22"/>
        </w:rPr>
        <w:t xml:space="preserve">Liquidation fee (5%) — protocol revenue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F2E"/>
          <w:sz w:val="22"/>
          <w:szCs w:val="22"/>
        </w:rPr>
        <w:t xml:space="preserve">Excedente (se houver) — devolvido ao tomador original</w:t>
      </w:r>
    </w:p>
    <w:p>
      <w:pPr>
        <w:spacing w:after="80" w:before="80"/>
      </w:pPr>
    </w:p>
    <w:p>
      <w:pPr>
        <w:pBdr>
          <w:left w:val="single" w:color="1A3A5C" w:sz="16" w:space="8"/>
        </w:pBdr>
        <w:shd w:fill="EBF0F5" w:val="clear"/>
        <w:spacing w:after="80" w:before="80"/>
        <w:ind w:left="360" w:right="360"/>
      </w:pPr>
      <w:r>
        <w:rPr>
          <w:rFonts w:ascii="Arial" w:cs="Arial" w:eastAsia="Arial" w:hAnsi="Arial"/>
          <w:i/>
          <w:iCs/>
          <w:color w:val="0F1F2E"/>
          <w:sz w:val="20"/>
          <w:szCs w:val="20"/>
        </w:rPr>
        <w:t xml:space="preserve">With a LTV of 50–60%, the asset would need to lose more than 40% of its value to cause a loss to the protocol — unlikely for luxury goods under normal conditions, but possible in crises.</w:t>
      </w:r>
    </w:p>
    <w:p>
      <w:pPr>
        <w:pBdr>
          <w:bottom w:val="single" w:color="E0D8CC" w:sz="4" w:space="1"/>
        </w:pBdr>
        <w:spacing w:after="220" w:before="2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346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11</w:t>
            </w:r>
          </w:p>
        </w:tc>
        <w:tc>
          <w:tcPr>
            <w:tcW w:type="dxa" w:w="8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2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8"/>
                <w:szCs w:val="28"/>
              </w:rPr>
              <w:t xml:space="preserve">Risk Management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7A"/>
                <w:sz w:val="18"/>
                <w:szCs w:val="18"/>
              </w:rPr>
              <w:t xml:space="preserve">Matrix of 12 risks with probability, impact, and mitigation</w:t>
            </w:r>
          </w:p>
        </w:tc>
      </w:tr>
    </w:tbl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"/>
        <w:gridCol w:w="2500"/>
        <w:gridCol w:w="900"/>
        <w:gridCol w:w="900"/>
        <w:gridCol w:w="4346"/>
      </w:tblGrid>
      <w:tr>
        <w:trPr>
          <w:tblHeader/>
        </w:trPr>
        <w:tc>
          <w:tcPr>
            <w:tcW w:type="dxa" w:w="380"/>
            <w:tcBorders>
              <w:top w:val="single" w:color="0F1F2E" w:sz="1"/>
              <w:left w:val="single" w:color="0F1F2E" w:sz="1"/>
              <w:bottom w:val="single" w:color="0F1F2E" w:sz="1"/>
              <w:right w:val="single" w:color="0F1F2E" w:sz="1"/>
            </w:tcBorders>
            <w:shd w:fill="0F1F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0F1F2E" w:sz="1"/>
              <w:left w:val="single" w:color="0F1F2E" w:sz="1"/>
              <w:bottom w:val="single" w:color="0F1F2E" w:sz="1"/>
              <w:right w:val="single" w:color="0F1F2E" w:sz="1"/>
            </w:tcBorders>
            <w:shd w:fill="0F1F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900"/>
            <w:tcBorders>
              <w:top w:val="single" w:color="0F1F2E" w:sz="1"/>
              <w:left w:val="single" w:color="0F1F2E" w:sz="1"/>
              <w:bottom w:val="single" w:color="0F1F2E" w:sz="1"/>
              <w:right w:val="single" w:color="0F1F2E" w:sz="1"/>
            </w:tcBorders>
            <w:shd w:fill="0F1F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Prob.</w:t>
            </w:r>
          </w:p>
        </w:tc>
        <w:tc>
          <w:tcPr>
            <w:tcW w:type="dxa" w:w="900"/>
            <w:tcBorders>
              <w:top w:val="single" w:color="0F1F2E" w:sz="1"/>
              <w:left w:val="single" w:color="0F1F2E" w:sz="1"/>
              <w:bottom w:val="single" w:color="0F1F2E" w:sz="1"/>
              <w:right w:val="single" w:color="0F1F2E" w:sz="1"/>
            </w:tcBorders>
            <w:shd w:fill="0F1F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4346"/>
            <w:tcBorders>
              <w:top w:val="single" w:color="0F1F2E" w:sz="1"/>
              <w:left w:val="single" w:color="0F1F2E" w:sz="1"/>
              <w:bottom w:val="single" w:color="0F1F2E" w:sz="1"/>
              <w:right w:val="single" w:color="0F1F2E" w:sz="1"/>
            </w:tcBorders>
            <w:shd w:fill="0F1F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Regulatory: BACEN classifies as financial activity (SCD/SEP)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Alta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Critical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6B7A"/>
                <w:sz w:val="18"/>
                <w:szCs w:val="18"/>
              </w:rPr>
              <w:t xml:space="preserve">Pre-operation legal advisory. BACEN/LIFT Sandbox if available.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Fraud: forged asset or inflated appraisal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8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8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6B7A"/>
                <w:sz w:val="18"/>
                <w:szCs w:val="18"/>
              </w:rPr>
              <w:t xml:space="preserve">Independent certified appraisers, dual verification for assets &gt;R$50K.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Custody: loss, theft or damage of the asset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Baixa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Critical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6B7A"/>
                <w:sz w:val="18"/>
                <w:szCs w:val="18"/>
              </w:rPr>
              <w:t xml:space="preserve">Mandatory insurance, certified custodian, tracked chain of custody.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Mass default: widespread delinquency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Baixa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Critical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6B7A"/>
                <w:sz w:val="18"/>
                <w:szCs w:val="18"/>
              </w:rPr>
              <w:t xml:space="preserve">LTV 50–60%, category diversification, contingency reserve in the vault.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Collateral depreciation below outstanding balance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8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8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6B7A"/>
                <w:sz w:val="18"/>
                <w:szCs w:val="18"/>
              </w:rPr>
              <w:t xml:space="preserve">Conservative LTV, periodic reappraisal for long-term loans.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Smart contract exploit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Baixa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Critical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6B7A"/>
                <w:sz w:val="18"/>
                <w:szCs w:val="18"/>
              </w:rPr>
              <w:t xml:space="preserve">External audit pre-Mainnet, 2/3 multisig, pause_vault, bug bounty.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Depeg stablecoin BRL &gt;3%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8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8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6B7A"/>
                <w:sz w:val="18"/>
                <w:szCs w:val="18"/>
              </w:rPr>
              <w:t xml:space="preserve">Monitored every 5min via Jupiter API + automatic BRL vault pause. (Spec V2.6, Section 11). CRITICAL NOTE: BRL Stablecoin not yet defined. BRZ ~$34M mcap on Solana, vol ~$2K/day — validate liquidity before deciding.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Vault liquidity exhausted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8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8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6B7A"/>
                <w:sz w:val="18"/>
                <w:szCs w:val="18"/>
              </w:rPr>
              <w:t xml:space="preserve">total_lent / vault_ata.amount ≤ 85%, withdrawal limits, unlock period.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Key person: multisig key compromise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Baixa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8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6B7A"/>
                <w:sz w:val="18"/>
                <w:szCs w:val="18"/>
              </w:rPr>
              <w:t xml:space="preserve">Squads 2/3, physically separated hardware wallets, key rotation.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Operational: custodian/appraiser unavailable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8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8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6B7A"/>
                <w:sz w:val="18"/>
                <w:szCs w:val="18"/>
              </w:rPr>
              <w:t xml:space="preserve">Multiple partners per function, contractual SLAs.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Legal: difficulty enforcing fiduciary assignment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Alta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8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6B7A"/>
                <w:sz w:val="18"/>
                <w:szCs w:val="18"/>
              </w:rPr>
              <w:t xml:space="preserve">Pre-operation legal structuring, physical contract complementary to on-chain.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Physical scalability: custody does not scale like software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Alta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6B7A"/>
                <w:sz w:val="18"/>
                <w:szCs w:val="18"/>
              </w:rPr>
              <w:t xml:space="preserve">Hub-and-spoke model, regional partnerships, standardizable categories.</w:t>
            </w:r>
          </w:p>
        </w:tc>
      </w:tr>
    </w:tbl>
    <w:p>
      <w:pPr>
        <w:spacing w:after="8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10.2  Riscos Aceitos no MVP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F2E"/>
          <w:sz w:val="22"/>
          <w:szCs w:val="22"/>
        </w:rPr>
        <w:t xml:space="preserve">No formal insurance on custodied assets (prohibitive cost at low volume)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F2E"/>
          <w:sz w:val="22"/>
          <w:szCs w:val="22"/>
        </w:rPr>
        <w:t xml:space="preserve">Single-point valuation (no dual verification for assets &lt; R$ 50K)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F2E"/>
          <w:sz w:val="22"/>
          <w:szCs w:val="22"/>
        </w:rPr>
        <w:t xml:space="preserve">No decentralized oracle for physical asset pricing (nonexistent in the market)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F2E"/>
          <w:sz w:val="22"/>
          <w:szCs w:val="22"/>
        </w:rPr>
        <w:t xml:space="preserve">Manual liquidation process (no integrated on-chain marketplace)</w:t>
      </w:r>
    </w:p>
    <w:p>
      <w:pPr>
        <w:pBdr>
          <w:bottom w:val="single" w:color="E0D8CC" w:sz="4" w:space="1"/>
        </w:pBdr>
        <w:spacing w:after="220" w:before="2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346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12</w:t>
            </w:r>
          </w:p>
        </w:tc>
        <w:tc>
          <w:tcPr>
            <w:tcW w:type="dxa" w:w="8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2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8"/>
                <w:szCs w:val="28"/>
              </w:rPr>
              <w:t xml:space="preserve">Regulatory Framework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7A"/>
                <w:sz w:val="18"/>
                <w:szCs w:val="18"/>
              </w:rPr>
              <w:t xml:space="preserve">Gray area, possible classifications and compliance roadmap</w:t>
            </w:r>
          </w:p>
        </w:tc>
      </w:tr>
    </w:tbl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4000"/>
        <w:gridCol w:w="1826"/>
      </w:tblGrid>
      <w:tr>
        <w:trPr>
          <w:tblHeader/>
        </w:trPr>
        <w:tc>
          <w:tcPr>
            <w:tcW w:type="dxa" w:w="1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Framework</w:t>
            </w:r>
          </w:p>
        </w:tc>
        <w:tc>
          <w:tcPr>
            <w:tcW w:type="dxa" w:w="14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Agency</w:t>
            </w:r>
          </w:p>
        </w:tc>
        <w:tc>
          <w:tcPr>
            <w:tcW w:type="dxa" w:w="40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Implication</w:t>
            </w:r>
          </w:p>
        </w:tc>
        <w:tc>
          <w:tcPr>
            <w:tcW w:type="dxa" w:w="1826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Penhor (Caixa)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BACEN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GarantiFi does NOT operate as a pawnbroker — the asset remains the borrower's property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N/A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SCD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BACEN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Requires authorization, minimum capital, compliance. Probability: Medium-High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Risco principal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Service company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Junta Comercial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Operation as a technology platform, not as a lender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Viable structuring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Sandbox BACEN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BACEN/LIFT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Experimental operation under supervision [TO BE VALIDATED against 2026 public notices]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Oportunidade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VASP (Lei 14.478/2022)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Federal Revenue Service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Required regardless of the model — token + stablecoin fall within scope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Alta probabilidade</w:t>
            </w:r>
          </w:p>
        </w:tc>
      </w:tr>
    </w:tbl>
    <w:p>
      <w:pPr>
        <w:spacing w:after="80" w:before="80"/>
      </w:pPr>
    </w:p>
    <w:p>
      <w:pPr>
        <w:pBdr>
          <w:left w:val="single" w:color="C9872A" w:sz="16" w:space="8"/>
        </w:pBdr>
        <w:shd w:fill="FEF3E2" w:val="clear"/>
        <w:spacing w:after="80" w:before="80"/>
        <w:ind w:left="360" w:right="360"/>
      </w:pPr>
      <w:r>
        <w:rPr>
          <w:rFonts w:ascii="Arial" w:cs="Arial" w:eastAsia="Arial" w:hAnsi="Arial"/>
          <w:b/>
          <w:bCs/>
          <w:color w:val="7A4F00"/>
          <w:sz w:val="20"/>
          <w:szCs w:val="20"/>
        </w:rPr>
        <w:t xml:space="preserve">⚠ The regulatory framework is the greatest non-technical risk. Without specialized legal counsel, operating on Mainnet with real users carries significant legal risk. The first post-hackathon investment should go into legal, not development.</w:t>
      </w:r>
    </w:p>
    <w:p>
      <w:pPr>
        <w:pBdr>
          <w:bottom w:val="single" w:color="E0D8CC" w:sz="4" w:space="1"/>
        </w:pBdr>
        <w:spacing w:after="220" w:before="2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346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13</w:t>
            </w:r>
          </w:p>
        </w:tc>
        <w:tc>
          <w:tcPr>
            <w:tcW w:type="dxa" w:w="8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2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8"/>
                <w:szCs w:val="28"/>
              </w:rPr>
              <w:t xml:space="preserve">Go-to-Market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7A"/>
                <w:sz w:val="18"/>
                <w:szCs w:val="18"/>
              </w:rPr>
              <w:t xml:space="preserve">Launch strategy, phases, and acquisition channels</w:t>
            </w:r>
          </w:p>
        </w:tc>
      </w:tr>
    </w:tbl>
    <w:p>
      <w:pPr>
        <w:spacing w:after="80" w:before="80"/>
      </w:pPr>
    </w:p>
    <w:p>
      <w:pPr>
        <w:pBdr>
          <w:left w:val="single" w:color="1A3A5C" w:sz="16" w:space="8"/>
        </w:pBdr>
        <w:shd w:fill="EBF0F5" w:val="clear"/>
        <w:spacing w:after="80" w:before="80"/>
        <w:ind w:left="360" w:right="360"/>
      </w:pPr>
      <w:r>
        <w:rPr>
          <w:rFonts w:ascii="Arial" w:cs="Arial" w:eastAsia="Arial" w:hAnsi="Arial"/>
          <w:i/>
          <w:iCs/>
          <w:color w:val="0F1F2E"/>
          <w:sz w:val="20"/>
          <w:szCs w:val="20"/>
        </w:rPr>
        <w:t xml:space="preserve">Core challenge: two-sided platform problem — no depositors means no loans, no borrowers means no yield.</w:t>
      </w:r>
    </w:p>
    <w:p>
      <w:pPr>
        <w:spacing w:after="8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12.1  Strategy by Phase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C9872A"/>
          <w:sz w:val="22"/>
          <w:szCs w:val="22"/>
        </w:rPr>
        <w:t xml:space="preserve">Phase 0 — Bootstrap (months 1–6)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F2E"/>
          <w:sz w:val="22"/>
          <w:szCs w:val="22"/>
        </w:rPr>
        <w:t xml:space="preserve">Vault capital: founders/seed investors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F2E"/>
          <w:sz w:val="22"/>
          <w:szCs w:val="22"/>
        </w:rPr>
        <w:t xml:space="preserve">Focus: 1 city (São Paulo), 1 custodian, 1 appraiser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F2E"/>
          <w:sz w:val="22"/>
          <w:szCs w:val="22"/>
        </w:rPr>
        <w:t xml:space="preserve">Single category: luxury watches (standardized market, high liquidity)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F2E"/>
          <w:sz w:val="22"/>
          <w:szCs w:val="22"/>
        </w:rPr>
        <w:t xml:space="preserve">Goal: 20–50 loans (minimum ticket R$ 12,000) to validate the full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F2E"/>
          <w:sz w:val="22"/>
          <w:szCs w:val="22"/>
        </w:rPr>
        <w:t xml:space="preserve">Channel: watch retailers, collector communities, Telegram/Discord groups</w:t>
      </w:r>
    </w:p>
    <w:p>
      <w:pPr>
        <w:spacing w:after="80" w:before="80"/>
      </w:pP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C9872A"/>
          <w:sz w:val="22"/>
          <w:szCs w:val="22"/>
        </w:rPr>
        <w:t xml:space="preserve">Phase 1 — Validation (months 6–18)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F2E"/>
          <w:sz w:val="22"/>
          <w:szCs w:val="22"/>
        </w:rPr>
        <w:t xml:space="preserve">2–3 categories (watches + jewelry + art), SP validated with 400+ CCBs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F2E"/>
          <w:sz w:val="22"/>
          <w:szCs w:val="22"/>
        </w:rPr>
        <w:t xml:space="preserve">Opening the vault to LPs via FIDC or securitization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F2E"/>
          <w:sz w:val="22"/>
          <w:szCs w:val="22"/>
        </w:rPr>
        <w:t xml:space="preserve">Goal: 200–500 CCBs · base scenario: 400 · TVL US$1.6M</w:t>
      </w:r>
    </w:p>
    <w:p>
      <w:pPr>
        <w:spacing w:after="80" w:before="80"/>
      </w:pP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C9872A"/>
          <w:sz w:val="22"/>
          <w:szCs w:val="22"/>
        </w:rPr>
        <w:t xml:space="preserve">Phase 2 — LatAm Expansion (2026–2027) — asset-light model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Principle: </w:t>
      </w:r>
      <w:r>
        <w:rPr>
          <w:rFonts w:ascii="Arial" w:cs="Arial" w:eastAsia="Arial" w:hAnsi="Arial"/>
          <w:color w:val="0F1F2E"/>
          <w:sz w:val="22"/>
          <w:szCs w:val="22"/>
        </w:rPr>
        <w:t xml:space="preserve">GarantiFi does NOT expand offices or branches — it expands its local partner network.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Cost: </w:t>
      </w:r>
      <w:r>
        <w:rPr>
          <w:rFonts w:ascii="Arial" w:cs="Arial" w:eastAsia="Arial" w:hAnsi="Arial"/>
          <w:color w:val="0F1F2E"/>
          <w:sz w:val="22"/>
          <w:szCs w:val="22"/>
        </w:rPr>
        <w:t xml:space="preserve">Per country: onboard a custodian + appraisers + insurer. Activation cost: R$10–45K/country. Zero incremental fixed cost.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Mercados: </w:t>
      </w:r>
      <w:r>
        <w:rPr>
          <w:rFonts w:ascii="Arial" w:cs="Arial" w:eastAsia="Arial" w:hAnsi="Arial"/>
          <w:color w:val="0F1F2E"/>
          <w:sz w:val="22"/>
          <w:szCs w:val="22"/>
        </w:rPr>
        <w:t xml:space="preserve">2026 countries: Colombia · Mexico · Panama · Peru · Chile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Execution: </w:t>
      </w:r>
      <w:r>
        <w:rPr>
          <w:rFonts w:ascii="Arial" w:cs="Arial" w:eastAsia="Arial" w:hAnsi="Arial"/>
          <w:color w:val="0F1F2E"/>
          <w:sz w:val="22"/>
          <w:szCs w:val="22"/>
        </w:rPr>
        <w:t xml:space="preserve">Playbook: 6–10 weeks from zero to the first CCB.</w:t>
      </w:r>
    </w:p>
    <w:p>
      <w:pPr>
        <w:spacing w:after="80" w:before="80"/>
      </w:pP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C9872A"/>
          <w:sz w:val="22"/>
          <w:szCs w:val="22"/>
        </w:rPr>
        <w:t xml:space="preserve">Phase 3 — USA Late 2027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Entrada: </w:t>
      </w:r>
      <w:r>
        <w:rPr>
          <w:rFonts w:ascii="Arial" w:cs="Arial" w:eastAsia="Arial" w:hAnsi="Arial"/>
          <w:color w:val="0F1F2E"/>
          <w:sz w:val="22"/>
          <w:szCs w:val="22"/>
        </w:rPr>
        <w:t xml:space="preserve">Miami + NYC. Pawnbroker license FL/NY.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TAM: </w:t>
      </w:r>
      <w:r>
        <w:rPr>
          <w:rFonts w:ascii="Arial" w:cs="Arial" w:eastAsia="Arial" w:hAnsi="Arial"/>
          <w:color w:val="0F1F2E"/>
          <w:sz w:val="22"/>
          <w:szCs w:val="22"/>
        </w:rPr>
        <w:t xml:space="preserve">Market US$8.6B (2024) → estimated US$45.6B by 2030 (HTF Market Intelligence).</w:t>
      </w:r>
    </w:p>
    <w:p>
      <w:pPr>
        <w:spacing w:after="8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12.2  Canais de Aquisição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763"/>
        <w:gridCol w:w="2763"/>
      </w:tblGrid>
      <w:tr>
        <w:trPr>
          <w:tblHeader/>
        </w:trPr>
        <w:tc>
          <w:tcPr>
            <w:tcW w:type="dxa" w:w="3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Canal</w:t>
            </w:r>
          </w:p>
        </w:tc>
        <w:tc>
          <w:tcPr>
            <w:tcW w:type="dxa" w:w="2763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Tomadores</w:t>
            </w:r>
          </w:p>
        </w:tc>
        <w:tc>
          <w:tcPr>
            <w:tcW w:type="dxa" w:w="2763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Depositantes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Watchmakers and jewelers (B2B)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Luxury watch/jewelry influencers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Low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On-chain referral program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Crypto communities (Discord/Telegram/X)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DeFi aggregators (DefiLlama, Solana ecosystem)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Low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Educational content (blog, YouTube, podcasts)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Medium</w:t>
            </w:r>
          </w:p>
        </w:tc>
      </w:tr>
    </w:tbl>
    <w:p>
      <w:pPr>
        <w:spacing w:after="80" w:before="80"/>
      </w:pPr>
    </w:p>
    <w:p>
      <w:pPr>
        <w:pBdr>
          <w:left w:val="single" w:color="1A3A5C" w:sz="16" w:space="8"/>
        </w:pBdr>
        <w:shd w:fill="EBF0F5" w:val="clear"/>
        <w:spacing w:after="80" w:before="80"/>
        <w:ind w:left="360" w:right="360"/>
      </w:pPr>
      <w:r>
        <w:rPr>
          <w:rFonts w:ascii="Arial" w:cs="Arial" w:eastAsia="Arial" w:hAnsi="Arial"/>
          <w:i/>
          <w:iCs/>
          <w:color w:val="0F1F2E"/>
          <w:sz w:val="20"/>
          <w:szCs w:val="20"/>
        </w:rPr>
        <w:t xml:space="preserve">The most efficient channel for borrowers is NOT crypto-native — collector communities and watch dealers. Blended CAC: R$350–500 (communities R$150–300 / events R$250–500 / partners R$400–700). NPS target &gt;80 measured quarterly. Year 1 CLV: R$2.865. Target CLV/CAC ratio: &gt;5×.</w:t>
      </w:r>
    </w:p>
    <w:p>
      <w:pPr>
        <w:pBdr>
          <w:bottom w:val="single" w:color="E0D8CC" w:sz="4" w:space="1"/>
        </w:pBdr>
        <w:spacing w:after="220" w:before="2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346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14</w:t>
            </w:r>
          </w:p>
        </w:tc>
        <w:tc>
          <w:tcPr>
            <w:tcW w:type="dxa" w:w="8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2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8"/>
                <w:szCs w:val="28"/>
              </w:rPr>
              <w:t xml:space="preserve">Metrics and KPIs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7A"/>
                <w:sz w:val="18"/>
                <w:szCs w:val="18"/>
              </w:rPr>
              <w:t xml:space="preserve">Protocol health dashboard aligned with Technical Spec V2.2</w:t>
            </w:r>
          </w:p>
        </w:tc>
      </w:tr>
    </w:tbl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1500"/>
        <w:gridCol w:w="1300"/>
        <w:gridCol w:w="1226"/>
      </w:tblGrid>
      <w:tr>
        <w:trPr>
          <w:tblHeader/>
        </w:trPr>
        <w:tc>
          <w:tcPr>
            <w:tcW w:type="dxa" w:w="20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0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1 Target</w:t>
            </w:r>
          </w:p>
        </w:tc>
        <w:tc>
          <w:tcPr>
            <w:tcW w:type="dxa" w:w="13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1226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Alinhado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TVL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Total Value Locked nos vaults (USDC + BRL)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US$ 1–2M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6B7A"/>
                <w:sz w:val="18"/>
                <w:szCs w:val="18"/>
              </w:rPr>
              <w:t xml:space="preserve">Daily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0E7C7B"/>
                <w:sz w:val="16"/>
                <w:szCs w:val="16"/>
              </w:rPr>
              <w:t xml:space="preserve">Spec §1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Utilization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total_lent / vault_ata.amount (saldo real ATA)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40–70%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6B7A"/>
                <w:sz w:val="18"/>
                <w:szCs w:val="18"/>
              </w:rPr>
              <w:t xml:space="preserve">Daily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0E7C7B"/>
                <w:sz w:val="16"/>
                <w:szCs w:val="16"/>
              </w:rPr>
              <w:t xml:space="preserve">Spec §1.3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Volume originado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Total value of loans issued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R$ 3–7,5M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6B7A"/>
                <w:sz w:val="18"/>
                <w:szCs w:val="18"/>
              </w:rPr>
              <w:t xml:space="preserve">Mensal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0E7C7B"/>
                <w:sz w:val="16"/>
                <w:szCs w:val="16"/>
              </w:rPr>
              <w:t xml:space="preserve">§7.3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No. of transactions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Number of loans issued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200–500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6B7A"/>
                <w:sz w:val="18"/>
                <w:szCs w:val="18"/>
              </w:rPr>
              <w:t xml:space="preserve">Mensal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0E7C7B"/>
                <w:sz w:val="16"/>
                <w:szCs w:val="16"/>
              </w:rPr>
              <w:t xml:space="preserve">§7.3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Average ticket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Average value per CCB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R$ 20.000+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6B7A"/>
                <w:sz w:val="18"/>
                <w:szCs w:val="18"/>
              </w:rPr>
              <w:t xml:space="preserve">Mensal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0E7C7B"/>
                <w:sz w:val="16"/>
                <w:szCs w:val="16"/>
              </w:rPr>
              <w:t xml:space="preserve">§7.2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Default rate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Delinquent loans / total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&lt; 5%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6B7A"/>
                <w:sz w:val="18"/>
                <w:szCs w:val="18"/>
              </w:rPr>
              <w:t xml:space="preserve">Mensal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0E7C7B"/>
                <w:sz w:val="16"/>
                <w:szCs w:val="16"/>
              </w:rPr>
              <w:t xml:space="preserve">§9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Taxa de renovação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Renewed loans / total due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&gt; 60%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6B7A"/>
                <w:sz w:val="18"/>
                <w:szCs w:val="18"/>
              </w:rPr>
              <w:t xml:space="preserve">Mensal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0E7C7B"/>
                <w:sz w:val="16"/>
                <w:szCs w:val="16"/>
              </w:rPr>
              <w:t xml:space="preserve">Spec §2.5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Recovery rate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Amount recovered in defaults / outstanding balance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&gt; 90%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6B7A"/>
                <w:sz w:val="18"/>
                <w:szCs w:val="18"/>
              </w:rPr>
              <w:t xml:space="preserve">Per event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0E7C7B"/>
                <w:sz w:val="16"/>
                <w:szCs w:val="16"/>
              </w:rPr>
              <w:t xml:space="preserve">§9.3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Gross margin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(Revenue - variable costs) / Revenue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&gt; 15%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6B7A"/>
                <w:sz w:val="18"/>
                <w:szCs w:val="18"/>
              </w:rPr>
              <w:t xml:space="preserve">Mensal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0E7C7B"/>
                <w:sz w:val="16"/>
                <w:szCs w:val="16"/>
              </w:rPr>
              <w:t xml:space="preserve">§7.2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NPS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Net Promoter Score — pós-quitação / renovação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&gt; 80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6B7A"/>
                <w:sz w:val="18"/>
                <w:szCs w:val="18"/>
              </w:rPr>
              <w:t xml:space="preserve">Trimestral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0E7C7B"/>
                <w:sz w:val="16"/>
                <w:szCs w:val="16"/>
              </w:rPr>
              <w:t xml:space="preserve">V2.6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CAC Blended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Cost of acquisition per converted customer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R$350–500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6B7A"/>
                <w:sz w:val="18"/>
                <w:szCs w:val="18"/>
              </w:rPr>
              <w:t xml:space="preserve">Mensal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0E7C7B"/>
                <w:sz w:val="16"/>
                <w:szCs w:val="16"/>
              </w:rPr>
              <w:t xml:space="preserve">V2.6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CLV 1 Ano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Revenue per borrower over 12 months (3 renewals)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R$ 2.865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6B7A"/>
                <w:sz w:val="18"/>
                <w:szCs w:val="18"/>
              </w:rPr>
              <w:t xml:space="preserve">Semestral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0E7C7B"/>
                <w:sz w:val="16"/>
                <w:szCs w:val="16"/>
              </w:rPr>
              <w:t xml:space="preserve">V2.6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SLA Laudo Online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Fotos submetidas → laudo entregue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&lt; 24h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6B7A"/>
                <w:sz w:val="18"/>
                <w:szCs w:val="18"/>
              </w:rPr>
              <w:t xml:space="preserve">Per op.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0E7C7B"/>
                <w:sz w:val="16"/>
                <w:szCs w:val="16"/>
              </w:rPr>
              <w:t xml:space="preserve">V2.6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SLA Laudo Offline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Physical check-in → physical appraisal report delivered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48h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6B7A"/>
                <w:sz w:val="18"/>
                <w:szCs w:val="18"/>
              </w:rPr>
              <w:t xml:space="preserve">Per op.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0E7C7B"/>
                <w:sz w:val="16"/>
                <w:szCs w:val="16"/>
              </w:rPr>
              <w:t xml:space="preserve">V2.6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Uptime backend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WebSocket + cron + 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99,9%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6B7A"/>
                <w:sz w:val="18"/>
                <w:szCs w:val="18"/>
              </w:rPr>
              <w:t xml:space="preserve">Ongoing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0E7C7B"/>
                <w:sz w:val="16"/>
                <w:szCs w:val="16"/>
              </w:rPr>
              <w:t xml:space="preserve">V2.6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Depeg BRL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Deviation from the 1:1 BRL stablecoin peg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&lt; 1%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6B7A"/>
                <w:sz w:val="18"/>
                <w:szCs w:val="18"/>
              </w:rPr>
              <w:t xml:space="preserve">Cada 5min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0E7C7B"/>
                <w:sz w:val="16"/>
                <w:szCs w:val="16"/>
              </w:rPr>
              <w:t xml:space="preserve">Spec §11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Tempo desembolso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Between custody confirmation and disbursement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&lt; 1 hora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6B7A"/>
                <w:sz w:val="18"/>
                <w:szCs w:val="18"/>
              </w:rPr>
              <w:t xml:space="preserve">Per op.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0E7C7B"/>
                <w:sz w:val="16"/>
                <w:szCs w:val="16"/>
              </w:rPr>
              <w:t xml:space="preserve">§8.2</w:t>
            </w:r>
          </w:p>
        </w:tc>
      </w:tr>
    </w:tbl>
    <w:p>
      <w:pPr>
        <w:spacing w:after="8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13.2  Warning Signals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3826"/>
      </w:tblGrid>
      <w:tr>
        <w:trPr>
          <w:tblHeader/>
        </w:trPr>
        <w:tc>
          <w:tcPr>
            <w:tcW w:type="dxa" w:w="30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Sinal</w:t>
            </w:r>
          </w:p>
        </w:tc>
        <w:tc>
          <w:tcPr>
            <w:tcW w:type="dxa" w:w="22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Causa</w:t>
            </w:r>
          </w:p>
        </w:tc>
        <w:tc>
          <w:tcPr>
            <w:tcW w:type="dxa" w:w="3826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Utilization &gt; 85% (total_lent / vault_ata.amount)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Vault quase esgotado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Pause new loans, seek deposits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Default rate &gt; 10%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Wallet with elevated risk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Review valuation criteria and LTV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Recovery rate &lt; 70%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Loss on liquidations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Reduzir LTV, restringir categorias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Depeg stablecoin BRL &gt; 3%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Stablecoin risk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Automatic BRL vault pause (Spec V2.6, Section 11) — mint TBD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Renewal &lt; 40%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Borrowers do not return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Investigate satisfaction, adjust rates</w:t>
            </w:r>
          </w:p>
        </w:tc>
      </w:tr>
    </w:tbl>
    <w:p>
      <w:pPr>
        <w:pBdr>
          <w:bottom w:val="single" w:color="E0D8CC" w:sz="4" w:space="1"/>
        </w:pBdr>
        <w:spacing w:after="220" w:before="2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346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15</w:t>
            </w:r>
          </w:p>
        </w:tc>
        <w:tc>
          <w:tcPr>
            <w:tcW w:type="dxa" w:w="8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2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8"/>
                <w:szCs w:val="28"/>
              </w:rPr>
              <w:t xml:space="preserve">Business Roadmap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7A"/>
                <w:sz w:val="18"/>
                <w:szCs w:val="18"/>
              </w:rPr>
              <w:t xml:space="preserve">Milestones by growth phase</w:t>
            </w:r>
          </w:p>
        </w:tc>
      </w:tr>
    </w:tbl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426"/>
      </w:tblGrid>
      <w:tr>
        <w:trPr>
          <w:tblHeader/>
        </w:trPr>
        <w:tc>
          <w:tcPr>
            <w:tcW w:type="dxa" w:w="1800"/>
            <w:tcBorders>
              <w:top w:val="single" w:color="0F1F2E" w:sz="1"/>
              <w:left w:val="single" w:color="0F1F2E" w:sz="1"/>
              <w:bottom w:val="single" w:color="0F1F2E" w:sz="1"/>
              <w:right w:val="single" w:color="0F1F2E" w:sz="1"/>
            </w:tcBorders>
            <w:shd w:fill="0F1F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0F1F2E" w:sz="1"/>
              <w:left w:val="single" w:color="0F1F2E" w:sz="1"/>
              <w:bottom w:val="single" w:color="0F1F2E" w:sz="1"/>
              <w:right w:val="single" w:color="0F1F2E" w:sz="1"/>
            </w:tcBorders>
            <w:shd w:fill="0F1F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5426"/>
            <w:tcBorders>
              <w:top w:val="single" w:color="0F1F2E" w:sz="1"/>
              <w:left w:val="single" w:color="0F1F2E" w:sz="1"/>
              <w:bottom w:val="single" w:color="0F1F2E" w:sz="1"/>
              <w:right w:val="single" w:color="0F1F2E" w:sz="1"/>
            </w:tcBorders>
            <w:shd w:fill="0F1F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Marcos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872A"/>
                <w:sz w:val="18"/>
                <w:szCs w:val="18"/>
              </w:rPr>
              <w:t xml:space="preserve">Hackathon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6B7A"/>
                <w:sz w:val="18"/>
                <w:szCs w:val="18"/>
              </w:rPr>
              <w:t xml:space="preserve">Abr–Mai 2026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MVP Devnet. Triangular appraisal V1.2 documented. Pitch Colosseum Frontier.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Pre-seed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6B7A"/>
                <w:sz w:val="18"/>
                <w:szCs w:val="18"/>
              </w:rPr>
              <w:t xml:space="preserve">Jun–Ago 2026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Legal opinion. Custodian + appraiser network (online + offline) in SP.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Seed / Mainnet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6B7A"/>
                <w:sz w:val="18"/>
                <w:szCs w:val="18"/>
              </w:rPr>
              <w:t xml:space="preserve">Set–Nov 2026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Smart contract audit. Mainnet Beta SP deploy. 20–50 CCBs/month. NPS baseline captured.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BR Validation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6B7A"/>
                <w:sz w:val="18"/>
                <w:szCs w:val="18"/>
              </w:rPr>
              <w:t xml:space="preserve">Dez 2026–Jun 2027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400+ CCBs in SP. NPS &gt;80. CLV ~R$2,865 confirmed. CAC R$350–500 validated. LatAm trigger reached.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1E96"/>
                <w:sz w:val="18"/>
                <w:szCs w:val="18"/>
              </w:rPr>
              <w:t xml:space="preserve">LatAm 2026–27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6B7A"/>
                <w:sz w:val="18"/>
                <w:szCs w:val="18"/>
              </w:rPr>
              <w:t xml:space="preserve">2026–2027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Colombia · Mexico · Panama · Peru · Chile. Asset-light: R$10–45K/country. Zero incremental fixed cost.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6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USA Final 2027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6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6B7A"/>
                <w:sz w:val="18"/>
                <w:szCs w:val="18"/>
              </w:rPr>
              <w:t xml:space="preserve">Final 2027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6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Miami + NYC. Pawnbroker license FL/NY. US$8.6B → US$45.6B market (2030).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F2E"/>
                <w:sz w:val="18"/>
                <w:szCs w:val="18"/>
              </w:rPr>
              <w:t xml:space="preserve">Escala Global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6B7A"/>
                <w:sz w:val="18"/>
                <w:szCs w:val="18"/>
              </w:rPr>
              <w:t xml:space="preserve">2028+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Remaining LatAm + Europe. On-chain marketplace. Securitization. VaaS API.</w:t>
            </w:r>
          </w:p>
        </w:tc>
      </w:tr>
    </w:tbl>
    <w:p>
      <w:pPr>
        <w:pBdr>
          <w:bottom w:val="single" w:color="E0D8CC" w:sz="4" w:space="1"/>
        </w:pBdr>
        <w:spacing w:after="220" w:before="2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346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16</w:t>
            </w:r>
          </w:p>
        </w:tc>
        <w:tc>
          <w:tcPr>
            <w:tcW w:type="dxa" w:w="8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2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8"/>
                <w:szCs w:val="28"/>
              </w:rPr>
              <w:t xml:space="preserve">Receitas Futuras — 12 Oportunidades Identificadas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7A"/>
                <w:sz w:val="18"/>
                <w:szCs w:val="18"/>
              </w:rPr>
              <w:t xml:space="preserve">From float to revolving credit — by maturity layer and effort</w:t>
            </w:r>
          </w:p>
        </w:tc>
      </w:tr>
    </w:tbl>
    <w:p>
      <w:pPr>
        <w:spacing w:after="80" w:before="80"/>
      </w:pPr>
    </w:p>
    <w:p>
      <w:pPr>
        <w:spacing w:after="100" w:before="60"/>
      </w:pPr>
      <w:r>
        <w:rPr>
          <w:rFonts w:ascii="Arial" w:cs="Arial" w:eastAsia="Arial" w:hAnsi="Arial"/>
          <w:color w:val="0F1F2E"/>
          <w:sz w:val="22"/>
          <w:szCs w:val="22"/>
        </w:rPr>
        <w:t xml:space="preserve">Beyond the 3 revenue sources in the current model (origination, interest spread, liquidation), GarantiFi has 12 identified revenue opportunities across the roadmap. Organized into 5 layers, from direct extension (V2) to structural transformation (5+ years).</w:t>
      </w:r>
    </w:p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 1  —  Direct extensions of the current model  (V2 / short term)</w:t>
            </w:r>
          </w:p>
        </w:tc>
      </w:tr>
    </w:tbl>
    <w:p>
      <w:pPr>
        <w:spacing w:after="4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c>
          <w:tcPr>
            <w:tcBorders>
              <w:top w:val="single" w:color="C9872A" w:sz="1"/>
              <w:left w:val="single" w:color="C9872A" w:sz="1"/>
              <w:bottom w:val="single" w:color="C9872A" w:sz="1"/>
              <w:right w:val="single" w:color="C9872A" w:sz="1"/>
            </w:tcBorders>
            <w:shd w:fill="FFF8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9872A"/>
                <w:sz w:val="24"/>
                <w:szCs w:val="24"/>
              </w:rPr>
              <w:t xml:space="preserve">01</w:t>
            </w:r>
            <w:r>
              <w:rPr>
                <w:rFonts w:ascii="Arial" w:cs="Arial" w:eastAsia="Arial" w:hAnsi="Arial"/>
                <w:b/>
                <w:bCs/>
                <w:color w:val="0F1F2E"/>
                <w:sz w:val="22"/>
                <w:szCs w:val="22"/>
              </w:rPr>
              <w:t xml:space="preserve">  Yield sobre o Float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Tokens ociosos no vault depositados em Kamino/MarginFi/Drift enquanto não estão emprestados.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Potencial: </w:t>
            </w:r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+$40–80K/ano com $1M TVL (4–8% APY)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Esforço: </w:t>
            </w:r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Baixo — instrução deploy_idle_liquidity + parâmetro max_deployment_ratio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6B7A"/>
                <w:sz w:val="16"/>
                <w:szCs w:val="16"/>
              </w:rPr>
              <w:t xml:space="preserve">Horizon: V2 imediato</w:t>
            </w:r>
          </w:p>
        </w:tc>
        <w:tc>
          <w:tcPr>
            <w:tcBorders>
              <w:top w:val="single" w:color="2A6049" w:sz="1"/>
              <w:left w:val="single" w:color="2A6049" w:sz="1"/>
              <w:bottom w:val="single" w:color="2A6049" w:sz="1"/>
              <w:right w:val="single" w:color="2A6049" w:sz="1"/>
            </w:tcBorders>
            <w:shd w:fill="EEF7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6B3A"/>
                <w:sz w:val="24"/>
                <w:szCs w:val="24"/>
              </w:rPr>
              <w:t xml:space="preserve">02</w:t>
            </w:r>
            <w:r>
              <w:rPr>
                <w:rFonts w:ascii="Arial" w:cs="Arial" w:eastAsia="Arial" w:hAnsi="Arial"/>
                <w:b/>
                <w:bCs/>
                <w:color w:val="0F1F2E"/>
                <w:sz w:val="22"/>
                <w:szCs w:val="22"/>
              </w:rPr>
              <w:t xml:space="preserve">  Fee de Renovação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Além dos juros acumulados, cobrar taxa de extensão (0,5% do principal) por ato de renovação.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Potencial: </w:t>
            </w:r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R$18–52K/ano (240–350 renovações no cenário base)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Esforço: </w:t>
            </w:r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Baixo — 1 linha na instrução renew_loan existente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6B7A"/>
                <w:sz w:val="16"/>
                <w:szCs w:val="16"/>
              </w:rPr>
              <w:t xml:space="preserve">Horizon: V2 imediato</w:t>
            </w:r>
          </w:p>
        </w:tc>
        <w:tc>
          <w:tcPr>
            <w:tcBorders>
              <w:top w:val="single" w:color="0E7C7B" w:sz="1"/>
              <w:left w:val="single" w:color="0E7C7B" w:sz="1"/>
              <w:bottom w:val="single" w:color="0E7C7B" w:sz="1"/>
              <w:right w:val="single" w:color="0E7C7B" w:sz="1"/>
            </w:tcBorders>
            <w:shd w:fill="E8F4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E7C7B"/>
                <w:sz w:val="24"/>
                <w:szCs w:val="24"/>
              </w:rPr>
              <w:t xml:space="preserve">03</w:t>
            </w:r>
            <w:r>
              <w:rPr>
                <w:rFonts w:ascii="Arial" w:cs="Arial" w:eastAsia="Arial" w:hAnsi="Arial"/>
                <w:b/>
                <w:bCs/>
                <w:color w:val="0F1F2E"/>
                <w:sz w:val="22"/>
                <w:szCs w:val="22"/>
              </w:rPr>
              <w:t xml:space="preserve">  Leilão de Defaults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Marketplace on-chain para lances em NFT de ativo em default. Taxa sobre lance (0,5%) + taxa de venda (2–3%).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Potencial: </w:t>
            </w:r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$5–15K/evento em ativo de alto valor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Esforço: </w:t>
            </w:r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Médio — programa Anchor separado AuctionProgram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6B7A"/>
                <w:sz w:val="16"/>
                <w:szCs w:val="16"/>
              </w:rPr>
              <w:t xml:space="preserve">Horizon: V3</w:t>
            </w:r>
          </w:p>
        </w:tc>
      </w:tr>
    </w:tbl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C7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Camada 2  —  Vault como infraestrutura para terceiros  (V3)</w:t>
            </w:r>
          </w:p>
        </w:tc>
      </w:tr>
    </w:tbl>
    <w:p>
      <w:pPr>
        <w:spacing w:after="4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EDF2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4"/>
                <w:szCs w:val="24"/>
              </w:rPr>
              <w:t xml:space="preserve">04</w:t>
            </w:r>
            <w:r>
              <w:rPr>
                <w:rFonts w:ascii="Arial" w:cs="Arial" w:eastAsia="Arial" w:hAnsi="Arial"/>
                <w:b/>
                <w:bCs/>
                <w:color w:val="0F1F2E"/>
                <w:sz w:val="22"/>
                <w:szCs w:val="22"/>
              </w:rPr>
              <w:t xml:space="preserve">  Vault-as-a-Service (VaaS)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Licenciar o Vault Program auditado (multisig, CPI validation, saldo real via ATA) para seguradoras, casas de leilão e outras plataformas RWA que precisam de custódia on-chain sem construir do zero.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Modelo: </w:t>
            </w:r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R$500–2.000/mês por vault + 0,1–0,3% a.a. sobre TVL custodiado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Potencial: </w:t>
            </w:r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R$60–240K/ano</w:t>
            </w:r>
          </w:p>
        </w:tc>
        <w:tc>
          <w:tcPr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EDF2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4"/>
                <w:szCs w:val="24"/>
              </w:rPr>
              <w:t xml:space="preserve">05</w:t>
            </w:r>
            <w:r>
              <w:rPr>
                <w:rFonts w:ascii="Arial" w:cs="Arial" w:eastAsia="Arial" w:hAnsi="Arial"/>
                <w:b/>
                <w:bCs/>
                <w:color w:val="0F1F2E"/>
                <w:sz w:val="22"/>
                <w:szCs w:val="22"/>
              </w:rPr>
              <w:t xml:space="preserve">  Custódia de NFTs (CaaS)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O mecanismo de custódia de cNFT no PDA pode ser oferecido para artistas, colecionadores e marketplaces que precisam de escrow on-chain garantido — não apenas para colateral de empréstimo.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Modelo: </w:t>
            </w:r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R$20–50 por NFT/mês. Instrução custody_nft_for_third_party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Potencial: </w:t>
            </w:r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Escala com volume de parceiros</w:t>
            </w:r>
          </w:p>
        </w:tc>
      </w:tr>
    </w:tbl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A604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Camada 3  —  Data e reputação on-chain  (V3 / médio prazo)</w:t>
            </w:r>
          </w:p>
        </w:tc>
      </w:tr>
    </w:tbl>
    <w:p>
      <w:pPr>
        <w:spacing w:after="4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EEF7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6B3A"/>
                <w:sz w:val="24"/>
                <w:szCs w:val="24"/>
              </w:rPr>
              <w:t xml:space="preserve">06</w:t>
            </w:r>
            <w:r>
              <w:rPr>
                <w:rFonts w:ascii="Arial" w:cs="Arial" w:eastAsia="Arial" w:hAnsi="Arial"/>
                <w:b/>
                <w:bCs/>
                <w:color w:val="0F1F2E"/>
                <w:sz w:val="22"/>
                <w:szCs w:val="22"/>
              </w:rPr>
              <w:t xml:space="preserve">  Score de Ativo (Asset Score)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Cada ativo acumula histórico on-chain: hash do laudo, histórico de custodiante, resultado do empréstimo, histórico de preço. Um 'Carfax para bens de luxo' — vendável como API B2B para seguradoras, marketplaces e bureaus.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Modelo: </w:t>
            </w:r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R$0,50–2,00/consulta ou R$500–5.000/mês por integração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Potencial: </w:t>
            </w:r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R$50–200K/ano</w:t>
            </w:r>
          </w:p>
        </w:tc>
        <w:tc>
          <w:tcPr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EEF7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6B3A"/>
                <w:sz w:val="24"/>
                <w:szCs w:val="24"/>
              </w:rPr>
              <w:t xml:space="preserve">07</w:t>
            </w:r>
            <w:r>
              <w:rPr>
                <w:rFonts w:ascii="Arial" w:cs="Arial" w:eastAsia="Arial" w:hAnsi="Arial"/>
                <w:b/>
                <w:bCs/>
                <w:color w:val="0F1F2E"/>
                <w:sz w:val="22"/>
                <w:szCs w:val="22"/>
              </w:rPr>
              <w:t xml:space="preserve">  Score de Tomador (Reputação On-chain)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Tomadores que quitam em dia constroem reputação on-chain. Monetizável como LTV preferencial (58–62%), NFT de reputação, venda de dados anonimizados para bureaus de crédito. Maior diferencial de longo prazo — dados de inadimplência em ativos físicos não existem no DeFi hoje.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Horizon: </w:t>
            </w:r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Médio prazo — requer histórico de pelo menos 12–18 meses de operação</w:t>
            </w:r>
          </w:p>
        </w:tc>
      </w:tr>
    </w:tbl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872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Camada 4  —  Financeirização dos ativos custodiados  (médio/longo prazo)</w:t>
            </w:r>
          </w:p>
        </w:tc>
      </w:tr>
    </w:tbl>
    <w:p>
      <w:pPr>
        <w:spacing w:after="4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c>
          <w:tcPr>
            <w:tcBorders>
              <w:top w:val="single" w:color="C9872A" w:sz="1"/>
              <w:left w:val="single" w:color="C9872A" w:sz="1"/>
              <w:bottom w:val="single" w:color="C9872A" w:sz="1"/>
              <w:right w:val="single" w:color="C9872A" w:sz="1"/>
            </w:tcBorders>
            <w:shd w:fill="FFF8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9872A"/>
                <w:sz w:val="24"/>
                <w:szCs w:val="24"/>
              </w:rPr>
              <w:t xml:space="preserve">08</w:t>
            </w:r>
            <w:r>
              <w:rPr>
                <w:rFonts w:ascii="Arial" w:cs="Arial" w:eastAsia="Arial" w:hAnsi="Arial"/>
                <w:b/>
                <w:bCs/>
                <w:color w:val="0F1F2E"/>
                <w:sz w:val="22"/>
                <w:szCs w:val="22"/>
              </w:rPr>
              <w:t xml:space="preserve">  Fracionamento de NFT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Ativo no vault fracionado em 100 tokens (1% cada). Investidores compram frações do Rolex/joia. Taxa de fracionamento (1–2%) + fee de recomposição.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Atenção: </w:t>
            </w: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frações de ativo físico podem ser valor mobiliário — requer análise CVM antes de implementar.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6B7A"/>
                <w:sz w:val="16"/>
                <w:szCs w:val="16"/>
              </w:rPr>
              <w:t xml:space="preserve">Horizon: médio/longo prazo</w:t>
            </w:r>
          </w:p>
        </w:tc>
        <w:tc>
          <w:tcPr>
            <w:tcBorders>
              <w:top w:val="single" w:color="C9872A" w:sz="1"/>
              <w:left w:val="single" w:color="C9872A" w:sz="1"/>
              <w:bottom w:val="single" w:color="C9872A" w:sz="1"/>
              <w:right w:val="single" w:color="C9872A" w:sz="1"/>
            </w:tcBorders>
            <w:shd w:fill="FFF8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9872A"/>
                <w:sz w:val="24"/>
                <w:szCs w:val="24"/>
              </w:rPr>
              <w:t xml:space="preserve">09</w:t>
            </w:r>
            <w:r>
              <w:rPr>
                <w:rFonts w:ascii="Arial" w:cs="Arial" w:eastAsia="Arial" w:hAnsi="Arial"/>
                <w:b/>
                <w:bCs/>
                <w:color w:val="0F1F2E"/>
                <w:sz w:val="22"/>
                <w:szCs w:val="22"/>
              </w:rPr>
              <w:t xml:space="preserve">  Seguro On-chain Integrado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Parceria com Nexus Mutual, InsurAce ou seguradora tradicional. Prêmio embutido no fluxo do empréstimo — protocolo recebe comissão de distribuição (10–20%).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Potencial: </w:t>
            </w:r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R$50–200 por empréstimo · R$20–80K/ano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6B7A"/>
                <w:sz w:val="16"/>
                <w:szCs w:val="16"/>
              </w:rPr>
              <w:t xml:space="preserve">Horizon: V3 curto/médio prazo</w:t>
            </w:r>
          </w:p>
        </w:tc>
        <w:tc>
          <w:tcPr>
            <w:tcBorders>
              <w:top w:val="single" w:color="C9872A" w:sz="1"/>
              <w:left w:val="single" w:color="C9872A" w:sz="1"/>
              <w:bottom w:val="single" w:color="C9872A" w:sz="1"/>
              <w:right w:val="single" w:color="C9872A" w:sz="1"/>
            </w:tcBorders>
            <w:shd w:fill="FFF8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9872A"/>
                <w:sz w:val="24"/>
                <w:szCs w:val="24"/>
              </w:rPr>
              <w:t xml:space="preserve">10</w:t>
            </w:r>
            <w:r>
              <w:rPr>
                <w:rFonts w:ascii="Arial" w:cs="Arial" w:eastAsia="Arial" w:hAnsi="Arial"/>
                <w:b/>
                <w:bCs/>
                <w:color w:val="0F1F2E"/>
                <w:sz w:val="22"/>
                <w:szCs w:val="22"/>
              </w:rPr>
              <w:t xml:space="preserve">  Securitização On-chain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Com 100+ empréstimos ativos, tokenizar a carteira inteira como produto de renda fixa para investidores institucionais. Modelo Centrifuge/Goldfinch com colateral físico. GarantiFi retém 10–20% como first-loss tranche.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6B7A"/>
                <w:sz w:val="16"/>
                <w:szCs w:val="16"/>
              </w:rPr>
              <w:t xml:space="preserve">Horizon: 3–5 anos · transformacional</w:t>
            </w:r>
          </w:p>
        </w:tc>
      </w:tr>
    </w:tbl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F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Camada 5  —  Expansão de produto  (longo prazo)</w:t>
            </w:r>
          </w:p>
        </w:tc>
      </w:tr>
    </w:tbl>
    <w:p>
      <w:pPr>
        <w:spacing w:after="4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Borders>
              <w:top w:val="single" w:color="0F1F2E" w:sz="1"/>
              <w:left w:val="single" w:color="0F1F2E" w:sz="1"/>
              <w:bottom w:val="single" w:color="0F1F2E" w:sz="1"/>
              <w:right w:val="single" w:color="0F1F2E" w:sz="1"/>
            </w:tcBorders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F1F2E"/>
                <w:sz w:val="24"/>
                <w:szCs w:val="24"/>
              </w:rPr>
              <w:t xml:space="preserve">11</w:t>
            </w:r>
            <w:r>
              <w:rPr>
                <w:rFonts w:ascii="Arial" w:cs="Arial" w:eastAsia="Arial" w:hAnsi="Arial"/>
                <w:b/>
                <w:bCs/>
                <w:color w:val="0F1F2E"/>
                <w:sz w:val="22"/>
                <w:szCs w:val="22"/>
              </w:rPr>
              <w:t xml:space="preserve">  Linha de Crédito Rotativa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Tomador com histórico limpo recebe linha de crédito vinculada ao ativo: saca até 60% do valor a qualquer momento, paga juros apenas sobre o saldo utilizado. Sem nova avaliação enquanto o ativo estiver em custódia.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Spec: </w:t>
            </w:r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nova conta CreditLine com available_balance, utilized_balance, last_draw_ts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6B7A"/>
                <w:sz w:val="16"/>
                <w:szCs w:val="16"/>
              </w:rPr>
              <w:t xml:space="preserve">Horizon: V4 · requer histórico de crédito on-chain</w:t>
            </w:r>
          </w:p>
        </w:tc>
        <w:tc>
          <w:tcPr>
            <w:tcBorders>
              <w:top w:val="single" w:color="0F1F2E" w:sz="1"/>
              <w:left w:val="single" w:color="0F1F2E" w:sz="1"/>
              <w:bottom w:val="single" w:color="0F1F2E" w:sz="1"/>
              <w:right w:val="single" w:color="0F1F2E" w:sz="1"/>
            </w:tcBorders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F1F2E"/>
                <w:sz w:val="24"/>
                <w:szCs w:val="24"/>
              </w:rPr>
              <w:t xml:space="preserve">12</w:t>
            </w:r>
            <w:r>
              <w:rPr>
                <w:rFonts w:ascii="Arial" w:cs="Arial" w:eastAsia="Arial" w:hAnsi="Arial"/>
                <w:b/>
                <w:bCs/>
                <w:color w:val="0F1F2E"/>
                <w:sz w:val="22"/>
                <w:szCs w:val="22"/>
              </w:rPr>
              <w:t xml:space="preserve">  Colateral Digital Híbrido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O Vault Program aceita também SOL/JitoSOL/mSOL como colateral (líquido, on-chain, sem custódia física) e NFTs de alto valor (DeGods, Mad Lads). Expande o mercado para usuários DeFi puro e diversifica o portfólio de colateral.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Vantagem: </w:t>
            </w:r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sem logística física — escala como DeFi puro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6B7A"/>
                <w:sz w:val="16"/>
                <w:szCs w:val="16"/>
              </w:rPr>
              <w:t xml:space="preserve">Horizon: V4 / expansão de mercado</w:t>
            </w:r>
          </w:p>
        </w:tc>
      </w:tr>
    </w:tbl>
    <w:p>
      <w:pPr>
        <w:spacing w:after="8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15.  Resumo de Potencial por Horizonte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500"/>
        <w:gridCol w:w="1000"/>
        <w:gridCol w:w="2726"/>
      </w:tblGrid>
      <w:tr>
        <w:trPr>
          <w:tblHeader/>
        </w:trPr>
        <w:tc>
          <w:tcPr>
            <w:tcW w:type="dxa" w:w="3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Oportunidade</w:t>
            </w:r>
          </w:p>
        </w:tc>
        <w:tc>
          <w:tcPr>
            <w:tcW w:type="dxa" w:w="1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Horizonte</w:t>
            </w:r>
          </w:p>
        </w:tc>
        <w:tc>
          <w:tcPr>
            <w:tcW w:type="dxa" w:w="10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2726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Potencial Anual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Yield sobre float (Kamino/MarginFi/Drift)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Imediato (V2)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Low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$40–80K/ano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Additional renewal fee (0.5% of principal)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Imediato (V2)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Low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R$18–52K/ano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Integrated on-chain insurance (10–20% commission)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Curto (V2/V3)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R$20–80K/ano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Asset score — B2B 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Medium term (V3)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R$50–200K/ano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Vault-as-a-Service for third parties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Medium term (V3)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R$60–240K/ano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On-chain default auction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Medium term (V3)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Variable per event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Borrower score — on-chain reputation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Medium term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A precificar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NFT fractionalization (CVM analysis required)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Medium/long term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High — post-regulatory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NFT custody for third parties (CaaS)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Medium term (V3)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Scale with partners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Revolving credit line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Longo (V4)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Transformacional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Hybrid digital collateral (SOL/JitoSOL)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Longo (V4)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New market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On-chain portfolio securitization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3–5 anos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Muito alto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Transformacional</w:t>
            </w:r>
          </w:p>
        </w:tc>
      </w:tr>
    </w:tbl>
    <w:p>
      <w:pPr>
        <w:spacing w:after="80" w:before="80"/>
      </w:pPr>
    </w:p>
    <w:p>
      <w:pPr>
        <w:pBdr>
          <w:left w:val="single" w:color="1A3A5C" w:sz="16" w:space="8"/>
        </w:pBdr>
        <w:shd w:fill="EBF0F5" w:val="clear"/>
        <w:spacing w:after="80" w:before="80"/>
        <w:ind w:left="360" w:right="360"/>
      </w:pPr>
      <w:r>
        <w:rPr>
          <w:rFonts w:ascii="Arial" w:cs="Arial" w:eastAsia="Arial" w:hAnsi="Arial"/>
          <w:i/>
          <w:iCs/>
          <w:color w:val="0F1F2E"/>
          <w:sz w:val="20"/>
          <w:szCs w:val="20"/>
        </w:rPr>
        <w:t xml:space="preserve">The first 3 opportunities (yield on float, renewal fee, integrated insurance) are direct extensions of the existing infrastructure — they can be implemented in the sprint following the MVP with no architectural changes. Together they represent an additional +R$80–200K in annual revenue in the base scenario, making the model far less dependent solely on new loan volume.</w:t>
      </w:r>
    </w:p>
    <w:p>
      <w:pPr>
        <w:pBdr>
          <w:bottom w:val="single" w:color="E0D8CC" w:sz="4" w:space="1"/>
        </w:pBdr>
        <w:spacing w:after="220" w:before="2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F1F2E"/>
          <w:sz w:val="36"/>
          <w:szCs w:val="36"/>
        </w:rPr>
        <w:t xml:space="preserve">Appendix A — Glossary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/>
        </w:trPr>
        <w:tc>
          <w:tcPr>
            <w:tcW w:type="dxa" w:w="1800"/>
            <w:tcBorders>
              <w:top w:val="single" w:color="0F1F2E" w:sz="1"/>
              <w:left w:val="single" w:color="0F1F2E" w:sz="1"/>
              <w:bottom w:val="single" w:color="0F1F2E" w:sz="1"/>
              <w:right w:val="single" w:color="0F1F2E" w:sz="1"/>
            </w:tcBorders>
            <w:shd w:fill="0F1F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7226"/>
            <w:tcBorders>
              <w:top w:val="single" w:color="0F1F2E" w:sz="1"/>
              <w:left w:val="single" w:color="0F1F2E" w:sz="1"/>
              <w:bottom w:val="single" w:color="0F1F2E" w:sz="1"/>
              <w:right w:val="single" w:color="0F1F2E" w:sz="1"/>
            </w:tcBorders>
            <w:shd w:fill="0F1F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RWA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Real World Assets — real-world assets tokenized on the blockchain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TVL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Total Value Locked — total value deposited in the protocol's vaults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LTV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Loan-to-Value — percentage of the asset's value that can be borrowed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cNFT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Compressed NFT — NFT compressed via Metaplex Bubblegum, negligible cost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PDA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Program Derived Address — deterministic address derived from the Solana program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CPI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Cross-Program Invocation — chamada entre programas Solana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BPS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Basis Points — rate unit (100 bps = 1%)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Depeg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Loss of peg of a stablecoin relative to its reference currency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Multisig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Multi-signature wallet — requires N of M signatures to execute a transaction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SCD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SCD — type of financial institution regulated by BACEN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F1F2E"/>
          <w:sz w:val="36"/>
          <w:szCs w:val="36"/>
        </w:rPr>
        <w:t xml:space="preserve">Appendix B — Data Errata</w:t>
      </w:r>
    </w:p>
    <w:p>
      <w:pPr>
        <w:spacing w:after="100" w:before="60"/>
      </w:pPr>
      <w:r>
        <w:rPr>
          <w:rFonts w:ascii="Arial" w:cs="Arial" w:eastAsia="Arial" w:hAnsi="Arial"/>
          <w:color w:val="0F1F2E"/>
          <w:sz w:val="22"/>
          <w:szCs w:val="22"/>
        </w:rPr>
        <w:t xml:space="preserve">Additions and corrections from V2.5 to V2.6. V2.6 = V2.5 + triangular model + customer metrics + country expansion. Both documents (Business V2.6 + Spec V2.6) use the corrected data below.</w:t>
      </w:r>
    </w:p>
    <w:p>
      <w:pPr>
        <w:spacing w:after="4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26"/>
        <w:gridCol w:w="3000"/>
      </w:tblGrid>
      <w:tr>
        <w:trPr>
          <w:tblHeader/>
        </w:trPr>
        <w:tc>
          <w:tcPr>
            <w:tcW w:type="dxa" w:w="25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Dado Original</w:t>
            </w:r>
          </w:p>
        </w:tc>
        <w:tc>
          <w:tcPr>
            <w:tcW w:type="dxa" w:w="3526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Correction</w:t>
            </w:r>
          </w:p>
        </w:tc>
        <w:tc>
          <w:tcPr>
            <w:tcW w:type="dxa" w:w="30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LatAm alternative credit CAGR: 10.6%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Correct: ~19.6% ($28.2B &gt; $57.8B in 4 years)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6B7A"/>
                <w:sz w:val="18"/>
                <w:szCs w:val="18"/>
              </w:rPr>
              <w:t xml:space="preserve">ResearchAndMarkets via BusinessWire, Out 2024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Mint BRZ: BRzSkMr57...ZLG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Correto: FtgGSFADXBtroxq8VCausXRr2of47QBf5AS1NtZCu4GD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6B7A"/>
                <w:sz w:val="18"/>
                <w:szCs w:val="18"/>
              </w:rPr>
              <w:t xml:space="preserve">Solana Explorer + Transfero Group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Carteira Caixa penhor: R$ 5,9B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Not confirmed. Last public figure: R$2.04B (2021). Both docs use R$2.04B.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6B7A"/>
                <w:sz w:val="18"/>
                <w:szCs w:val="18"/>
              </w:rPr>
              <w:t xml:space="preserve">Caixa 2021 Integrated Report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RWA BCG: $16T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$2T = McKinsey (2024). $9.4T = BCG/Ripple (2025 revision). $16T was BCG 2022 — outdated.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6B7A"/>
                <w:sz w:val="18"/>
                <w:szCs w:val="18"/>
              </w:rPr>
              <w:t xml:space="preserve">McKinsey 2024; BCG/Ripple 2025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122M desbancarizados LatAm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2021 data — likely lower today (Pix, Nequi, etc.)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6B7A"/>
                <w:sz w:val="18"/>
                <w:szCs w:val="18"/>
              </w:rPr>
              <w:t xml:space="preserve">World Bank Global Findex 2021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F2E"/>
                <w:sz w:val="18"/>
                <w:szCs w:val="18"/>
              </w:rPr>
              <w:t xml:space="preserve">Volume cripto Brasil: 2024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Period: Jul/2024–Jun/2025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6B7A"/>
                <w:sz w:val="18"/>
                <w:szCs w:val="18"/>
              </w:rPr>
              <w:t xml:space="preserve">Chainalysis Geography Report 2025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F1F2E"/>
          <w:sz w:val="36"/>
          <w:szCs w:val="36"/>
        </w:rPr>
        <w:t xml:space="preserve">Appendix C — Due Diligence for Partners</w:t>
      </w:r>
    </w:p>
    <w:p>
      <w:pPr>
        <w:spacing w:after="100" w:before="60"/>
      </w:pPr>
      <w:r>
        <w:rPr>
          <w:rFonts w:ascii="Arial" w:cs="Arial" w:eastAsia="Arial" w:hAnsi="Arial"/>
          <w:color w:val="0F1F2E"/>
          <w:sz w:val="22"/>
          <w:szCs w:val="22"/>
        </w:rPr>
        <w:t xml:space="preserve">Checklist for custodians and appraisers evaluating a partnership with GarantiFi:</w:t>
      </w:r>
    </w:p>
    <w:p>
      <w:pPr>
        <w:spacing w:after="40" w:before="4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F2E"/>
          <w:sz w:val="22"/>
          <w:szCs w:val="22"/>
        </w:rPr>
        <w:t xml:space="preserve">☐  Smart contracts audited by an independent firm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F2E"/>
          <w:sz w:val="22"/>
          <w:szCs w:val="22"/>
        </w:rPr>
        <w:t xml:space="preserve">☐  Civil liability insurance contracted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F2E"/>
          <w:sz w:val="22"/>
          <w:szCs w:val="22"/>
        </w:rPr>
        <w:t xml:space="preserve">☐  Tripartite agreement (protocol-custodian-borrower) reviewed by a lawyer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F2E"/>
          <w:sz w:val="22"/>
          <w:szCs w:val="22"/>
        </w:rPr>
        <w:t xml:space="preserve">☐  Custody SLA defined (receipt, storage, return)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F2E"/>
          <w:sz w:val="22"/>
          <w:szCs w:val="22"/>
        </w:rPr>
        <w:t xml:space="preserve">☐  Standardized and documented appraisal process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F2E"/>
          <w:sz w:val="22"/>
          <w:szCs w:val="22"/>
        </w:rPr>
        <w:t xml:space="preserve">☐  Dispute resolution mechanism established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F2E"/>
          <w:sz w:val="22"/>
          <w:szCs w:val="22"/>
        </w:rPr>
        <w:t xml:space="preserve">☐  Compliance with Law 14.478/2022 (crypto assets legal framework)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F2E"/>
          <w:sz w:val="22"/>
          <w:szCs w:val="22"/>
        </w:rPr>
        <w:t xml:space="preserve">☐  Privacy policy and data handling (LGPD)</w:t>
      </w:r>
    </w:p>
    <w:p>
      <w:pPr>
        <w:spacing w:after="160" w:before="160"/>
      </w:pPr>
    </w:p>
    <w:p>
      <w:pPr>
        <w:pBdr>
          <w:top w:val="single" w:color="CCCCCC" w:sz="2" w:space="6"/>
        </w:pBdr>
        <w:spacing w:after="40" w:before="60"/>
      </w:pPr>
      <w:r>
        <w:rPr>
          <w:rFonts w:ascii="Arial" w:cs="Arial" w:eastAsia="Arial" w:hAnsi="Arial"/>
          <w:i/>
          <w:iCs/>
          <w:color w:val="5A6B7A"/>
          <w:sz w:val="18"/>
          <w:szCs w:val="18"/>
        </w:rPr>
        <w:t xml:space="preserve">GarantiFi — Business Model V2.6 · April 2026 · Triangular Appraisal V1.2 · Country Expansion · NPS &gt;80 · CLV R$2.865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5A6B7A"/>
          <w:sz w:val="18"/>
          <w:szCs w:val="18"/>
        </w:rPr>
        <w:t xml:space="preserve">This document should be read in conjunction with the MVP Technical Specification V2.6.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i/>
          <w:iCs/>
          <w:color w:val="C9872A"/>
          <w:sz w:val="18"/>
          <w:szCs w:val="18"/>
        </w:rPr>
        <w:t xml:space="preserve">Data marked with [TO VALIDATE] requires confirmation before use in external presentations.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D8CC" w:sz="4" w:space="6"/>
      </w:pBdr>
      <w:tabs>
        <w:tab w:val="right" w:pos="9026"/>
      </w:tabs>
      <w:spacing w:after="0" w:before="120"/>
    </w:pPr>
    <w:r>
      <w:rPr>
        <w:rFonts w:ascii="Arial" w:cs="Arial" w:eastAsia="Arial" w:hAnsi="Arial"/>
        <w:color w:val="5A6B7A"/>
        <w:sz w:val="16"/>
        <w:szCs w:val="16"/>
      </w:rPr>
      <w:t xml:space="preserve">Confidencial — GarantiFi Abril 2026</w:t>
    </w:r>
    <w:r>
      <w:rPr>
        <w:rFonts w:ascii="Arial" w:cs="Arial" w:eastAsia="Arial" w:hAnsi="Arial"/>
        <w:color w:val="5A6B7A"/>
        <w:sz w:val="16"/>
        <w:szCs w:val="16"/>
      </w:rPr>
      <w:t xml:space="preserve">	Colosseum Frontier Hackathon · Solana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872A" w:sz="4" w:space="6"/>
      </w:pBdr>
      <w:spacing w:after="120" w:before="0"/>
    </w:pPr>
    <w:r>
      <w:rPr>
        <w:rFonts w:ascii="Arial" w:cs="Arial" w:eastAsia="Arial" w:hAnsi="Arial"/>
        <w:b/>
        <w:bCs/>
        <w:color w:val="C9872A"/>
        <w:sz w:val="18"/>
        <w:szCs w:val="18"/>
      </w:rPr>
      <w:t xml:space="preserve">GarantiFi — Business Model V2.6</w:t>
    </w:r>
    <w:r>
      <w:rPr>
        <w:rFonts w:ascii="Arial" w:cs="Arial" w:eastAsia="Arial" w:hAnsi="Arial"/>
        <w:color w:val="5A6B7A"/>
        <w:sz w:val="18"/>
        <w:szCs w:val="18"/>
      </w:rPr>
      <w:t xml:space="preserve">   |   Aligned with Technical Specification V2.6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0F1F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A3A5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20"/>
      <w:outlineLvl w:val="2"/>
    </w:pPr>
    <w:rPr>
      <w:rFonts w:ascii="Arial" w:cs="Arial" w:eastAsia="Arial" w:hAnsi="Arial"/>
      <w:b/>
      <w:bCs/>
      <w:color w:val="C9872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2026-04-17T20:14:39.015Z</dcterms:created>
  <dcterms:modified xsi:type="dcterms:W3CDTF">2026-04-17T20:14:39.071Z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