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40" w:before="0"/>
        <w:jc w:val="center"/>
      </w:pPr>
      <w:r>
        <w:rPr>
          <w:rFonts w:ascii="Arial" w:cs="Arial" w:eastAsia="Arial" w:hAnsi="Arial"/>
          <w:b/>
          <w:bCs/>
          <w:color w:val="1A3A5C"/>
          <w:sz w:val="64"/>
          <w:szCs w:val="64"/>
        </w:rPr>
        <w:t xml:space="preserve">GarantiFi</w:t>
      </w:r>
    </w:p>
    <w:p>
      <w:pPr>
        <w:spacing w:after="20" w:before="0"/>
        <w:jc w:val="center"/>
      </w:pPr>
      <w:r>
        <w:rPr>
          <w:rFonts w:ascii="Arial" w:cs="Arial" w:eastAsia="Arial" w:hAnsi="Arial"/>
          <w:b/>
          <w:bCs/>
          <w:color w:val="0F1F2E"/>
          <w:sz w:val="36"/>
          <w:szCs w:val="36"/>
        </w:rPr>
        <w:t xml:space="preserve">Technical Specification MVP  V3.1</w:t>
      </w:r>
    </w:p>
    <w:p>
      <w:pPr>
        <w:spacing w:after="60" w:before="0"/>
        <w:jc w:val="center"/>
      </w:pPr>
      <w:r>
        <w:rPr>
          <w:rFonts w:ascii="Arial" w:cs="Arial" w:eastAsia="Arial" w:hAnsi="Arial"/>
          <w:color w:val="5A6B7A"/>
          <w:sz w:val="22"/>
          <w:szCs w:val="22"/>
        </w:rPr>
        <w:t xml:space="preserve">Vault Program  ·  Loan Program  ·  TRDC (Token Representing Credit Rights)  ·  CCB + Fiduciary Alienation  ·  KYC/AML-CFT</w:t>
      </w:r>
    </w:p>
    <w:p>
      <w:pPr>
        <w:spacing w:after="80" w:before="80"/>
      </w:pPr>
    </w:p>
    <w:p>
      <w:pPr>
        <w:spacing w:after="40" w:before="0"/>
        <w:jc w:val="center"/>
      </w:pPr>
      <w:r>
        <w:rPr>
          <w:rFonts w:ascii="Arial" w:cs="Arial" w:eastAsia="Arial" w:hAnsi="Arial"/>
          <w:i/>
          <w:iCs/>
          <w:color w:val="5A6B7A"/>
          <w:sz w:val="20"/>
          <w:szCs w:val="20"/>
        </w:rPr>
        <w:t xml:space="preserve">Aligned with Business Model V2.6  ·  Triangular Appraisal V1.2  ·  Architecture A (Partner SCD)  ·  April 2026</w:t>
      </w:r>
    </w:p>
    <w:p>
      <w:pPr>
        <w:spacing w:after="80" w:before="80"/>
      </w:pPr>
    </w:p>
    <w:p>
      <w:pPr>
        <w:pBdr>
          <w:left w:val="single" w:color="5B2C8D" w:sz="16" w:space="8"/>
        </w:pBdr>
        <w:shd w:fill="F0EBF8" w:val="clear"/>
        <w:spacing w:after="80" w:before="80"/>
        <w:ind w:left="360" w:right="360"/>
      </w:pPr>
      <w:r>
        <w:rPr>
          <w:rFonts w:ascii="Arial" w:cs="Arial" w:eastAsia="Arial" w:hAnsi="Arial"/>
          <w:b/>
          <w:bCs/>
          <w:color w:val="3A1A6B"/>
          <w:sz w:val="20"/>
          <w:szCs w:val="20"/>
        </w:rPr>
        <w:t xml:space="preserve">⚖ V3.0: the main technical change is the replacement of the model 'cNFT as collateral + vault LP' by the model 'TRDC (Token Representing Credit Rights) as on-chain CCB record with fiduciary alienation'. The Anchor/Rust code is largely preserved — the metadata semantics change, the state flow e the integration with the off-chain legal layer.</w:t>
      </w:r>
    </w:p>
    <w:p>
      <w:pPr>
        <w:spacing w:after="400" w:before="4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01</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1A3A5C"/>
                <w:sz w:val="28"/>
                <w:szCs w:val="28"/>
              </w:rPr>
              <w:t xml:space="preserve">Vault Program</w:t>
            </w:r>
          </w:p>
          <w:p>
            <w:pPr>
              <w:spacing w:after="0" w:before="0"/>
            </w:pPr>
            <w:r>
              <w:rPr>
                <w:rFonts w:ascii="Arial" w:cs="Arial" w:eastAsia="Arial" w:hAnsi="Arial"/>
                <w:color w:val="5A6B7A"/>
                <w:sz w:val="18"/>
                <w:szCs w:val="18"/>
              </w:rPr>
              <w:t xml:space="preserve">Structure, multi-token, instructions and CPI validation</w:t>
            </w:r>
          </w:p>
        </w:tc>
      </w:tr>
    </w:tbl>
    <w:p>
      <w:pPr>
        <w:spacing w:after="80" w:before="80"/>
      </w:pPr>
    </w:p>
    <w:p>
      <w:pPr>
        <w:pStyle w:val="Heading2"/>
        <w:spacing w:after="100" w:before="280"/>
      </w:pPr>
      <w:r>
        <w:rPr>
          <w:rFonts w:ascii="Arial" w:cs="Arial" w:eastAsia="Arial" w:hAnsi="Arial"/>
          <w:b/>
          <w:bCs/>
          <w:color w:val="1A3A5C"/>
          <w:sz w:val="26"/>
          <w:szCs w:val="26"/>
        </w:rPr>
        <w:t xml:space="preserve">1.1  Semantic Change V3</w:t>
      </w:r>
    </w:p>
    <w:p>
      <w:pPr>
        <w:spacing w:after="100" w:before="60"/>
      </w:pPr>
      <w:r>
        <w:rPr>
          <w:rFonts w:ascii="Arial" w:cs="Arial" w:eastAsia="Arial" w:hAnsi="Arial"/>
          <w:color w:val="0F1F2E"/>
          <w:sz w:val="22"/>
          <w:szCs w:val="22"/>
        </w:rPr>
        <w:t xml:space="preserve">In V2.x, the Vault Program was the mechanism for raising LPs (pooled liquidity). In V3, the vault still manages liquidity for disbursement, but the capital comes from the partner SCD (and, in the future, from the FIDC). LPs become shareholders of the FIDC/securitization vehicle — they do not deposit into the vault directly. The vault is the SCD's operational liquidity buffer.</w:t>
      </w:r>
    </w:p>
    <w:p>
      <w:pPr>
        <w:spacing w:after="40" w:before="40"/>
      </w:pPr>
    </w:p>
    <w:p>
      <w:pPr>
        <w:pBdr>
          <w:left w:val="single" w:color="5B2C8D" w:sz="16" w:space="8"/>
        </w:pBdr>
        <w:shd w:fill="F0EBF8" w:val="clear"/>
        <w:spacing w:after="80" w:before="80"/>
        <w:ind w:left="360" w:right="360"/>
      </w:pPr>
      <w:r>
        <w:rPr>
          <w:rFonts w:ascii="Arial" w:cs="Arial" w:eastAsia="Arial" w:hAnsi="Arial"/>
          <w:b/>
          <w:bCs/>
          <w:color w:val="3A1A6B"/>
          <w:sz w:val="20"/>
          <w:szCs w:val="20"/>
        </w:rPr>
        <w:t xml:space="preserve">⚖ This distinction is legally critical: in V2.x, the vault received 'public savings' (LPs = public), which constitutes financial intermediation. In V3, the vault receives institutional capital from the SCD (which holds a BACEN license). GarantiFi does not handle the end depositor's money.</w:t>
      </w:r>
    </w:p>
    <w:p>
      <w:pPr>
        <w:spacing w:after="80" w:before="80"/>
      </w:pPr>
    </w:p>
    <w:p>
      <w:pPr>
        <w:pStyle w:val="Heading2"/>
        <w:spacing w:after="100" w:before="280"/>
      </w:pPr>
      <w:r>
        <w:rPr>
          <w:rFonts w:ascii="Arial" w:cs="Arial" w:eastAsia="Arial" w:hAnsi="Arial"/>
          <w:b/>
          <w:bCs/>
          <w:color w:val="1A3A5C"/>
          <w:sz w:val="26"/>
          <w:szCs w:val="26"/>
        </w:rPr>
        <w:t xml:space="preserve">1.2  VaultState V3</w:t>
      </w:r>
    </w:p>
    <w:p>
      <w:pPr>
        <w:shd w:fill="F0F0F0" w:val="clear"/>
        <w:spacing w:after="40" w:before="40"/>
        <w:ind w:left="360"/>
      </w:pPr>
      <w:r>
        <w:rPr>
          <w:rFonts w:ascii="Courier New" w:cs="Courier New" w:eastAsia="Courier New" w:hAnsi="Courier New"/>
          <w:color w:val="0F1F2E"/>
          <w:sz w:val="18"/>
          <w:szCs w:val="18"/>
        </w:rPr>
        <w:t xml:space="preserve">pub struct VaultState {</w:t>
      </w:r>
    </w:p>
    <w:p>
      <w:pPr>
        <w:shd w:fill="F0F0F0" w:val="clear"/>
        <w:spacing w:after="40" w:before="40"/>
        <w:ind w:left="360"/>
      </w:pPr>
      <w:r>
        <w:rPr>
          <w:rFonts w:ascii="Courier New" w:cs="Courier New" w:eastAsia="Courier New" w:hAnsi="Courier New"/>
          <w:color w:val="0F1F2E"/>
          <w:sz w:val="18"/>
          <w:szCs w:val="18"/>
        </w:rPr>
        <w:t xml:space="preserve">    pub authority: Pubkey,          // SCD parceira (multisig)</w:t>
      </w:r>
    </w:p>
    <w:p>
      <w:pPr>
        <w:shd w:fill="F0F0F0" w:val="clear"/>
        <w:spacing w:after="40" w:before="40"/>
        <w:ind w:left="360"/>
      </w:pPr>
      <w:r>
        <w:rPr>
          <w:rFonts w:ascii="Courier New" w:cs="Courier New" w:eastAsia="Courier New" w:hAnsi="Courier New"/>
          <w:color w:val="0F1F2E"/>
          <w:sz w:val="18"/>
          <w:szCs w:val="18"/>
        </w:rPr>
        <w:t xml:space="preserve">    pub token_mint: Pubkey,         // USDC ou stablecoin BRL</w:t>
      </w:r>
    </w:p>
    <w:p>
      <w:pPr>
        <w:shd w:fill="F0F0F0" w:val="clear"/>
        <w:spacing w:after="40" w:before="40"/>
        <w:ind w:left="360"/>
      </w:pPr>
      <w:r>
        <w:rPr>
          <w:rFonts w:ascii="Courier New" w:cs="Courier New" w:eastAsia="Courier New" w:hAnsi="Courier New"/>
          <w:color w:val="0F1F2E"/>
          <w:sz w:val="18"/>
          <w:szCs w:val="18"/>
        </w:rPr>
        <w:t xml:space="preserve">    pub vault_ata: Pubkey,          // Vault ATA</w:t>
      </w:r>
    </w:p>
    <w:p>
      <w:pPr>
        <w:shd w:fill="F0F0F0" w:val="clear"/>
        <w:spacing w:after="40" w:before="40"/>
        <w:ind w:left="360"/>
      </w:pPr>
      <w:r>
        <w:rPr>
          <w:rFonts w:ascii="Courier New" w:cs="Courier New" w:eastAsia="Courier New" w:hAnsi="Courier New"/>
          <w:color w:val="0F1F2E"/>
          <w:sz w:val="18"/>
          <w:szCs w:val="18"/>
        </w:rPr>
        <w:t xml:space="preserve">    pub total_disbursed: u64,       // Total CCBs disbursed</w:t>
      </w:r>
    </w:p>
    <w:p>
      <w:pPr>
        <w:shd w:fill="F0F0F0" w:val="clear"/>
        <w:spacing w:after="40" w:before="40"/>
        <w:ind w:left="360"/>
      </w:pPr>
      <w:r>
        <w:rPr>
          <w:rFonts w:ascii="Courier New" w:cs="Courier New" w:eastAsia="Courier New" w:hAnsi="Courier New"/>
          <w:color w:val="0F1F2E"/>
          <w:sz w:val="18"/>
          <w:szCs w:val="18"/>
        </w:rPr>
        <w:t xml:space="preserve">    pub total_repaid: u64,          // Total received from settlements</w:t>
      </w:r>
    </w:p>
    <w:p>
      <w:pPr>
        <w:shd w:fill="F0F0F0" w:val="clear"/>
        <w:spacing w:after="40" w:before="40"/>
        <w:ind w:left="360"/>
      </w:pPr>
      <w:r>
        <w:rPr>
          <w:rFonts w:ascii="Courier New" w:cs="Courier New" w:eastAsia="Courier New" w:hAnsi="Courier New"/>
          <w:color w:val="0F1F2E"/>
          <w:sz w:val="18"/>
          <w:szCs w:val="18"/>
        </w:rPr>
        <w:t xml:space="preserve">    pub total_defaulted: u64,       // Total in default (fiduciary lien enforced)</w:t>
      </w:r>
    </w:p>
    <w:p>
      <w:pPr>
        <w:shd w:fill="F0F0F0" w:val="clear"/>
        <w:spacing w:after="40" w:before="40"/>
        <w:ind w:left="360"/>
      </w:pPr>
      <w:r>
        <w:rPr>
          <w:rFonts w:ascii="Courier New" w:cs="Courier New" w:eastAsia="Courier New" w:hAnsi="Courier New"/>
          <w:color w:val="0F1F2E"/>
          <w:sz w:val="18"/>
          <w:szCs w:val="18"/>
        </w:rPr>
        <w:t xml:space="preserve">    pub is_paused: bool,            // Manual pause or depeg-triggered pause</w:t>
      </w:r>
    </w:p>
    <w:p>
      <w:pPr>
        <w:shd w:fill="F0F0F0" w:val="clear"/>
        <w:spacing w:after="40" w:before="40"/>
        <w:ind w:left="360"/>
      </w:pPr>
      <w:r>
        <w:rPr>
          <w:rFonts w:ascii="Courier New" w:cs="Courier New" w:eastAsia="Courier New" w:hAnsi="Courier New"/>
          <w:color w:val="0F1F2E"/>
          <w:sz w:val="18"/>
          <w:szCs w:val="18"/>
        </w:rPr>
        <w:t xml:space="preserve">    pub min_ccb_amount: u64,        // Minimum CCB amount (R$12,000 equiv.)</w:t>
      </w:r>
    </w:p>
    <w:p>
      <w:pPr>
        <w:shd w:fill="F0F0F0" w:val="clear"/>
        <w:spacing w:after="40" w:before="40"/>
        <w:ind w:left="360"/>
      </w:pPr>
      <w:r>
        <w:rPr>
          <w:rFonts w:ascii="Courier New" w:cs="Courier New" w:eastAsia="Courier New" w:hAnsi="Courier New"/>
          <w:color w:val="0F1F2E"/>
          <w:sz w:val="18"/>
          <w:szCs w:val="18"/>
        </w:rPr>
        <w:t xml:space="preserve">    pub scd_authority: Pubkey,      // NEW V3: partner SCD key</w:t>
      </w:r>
    </w:p>
    <w:p>
      <w:pPr>
        <w:shd w:fill="F0F0F0" w:val="clear"/>
        <w:spacing w:after="40" w:before="40"/>
        <w:ind w:left="360"/>
      </w:pPr>
      <w:r>
        <w:rPr>
          <w:rFonts w:ascii="Courier New" w:cs="Courier New" w:eastAsia="Courier New" w:hAnsi="Courier New"/>
          <w:color w:val="0F1F2E"/>
          <w:sz w:val="18"/>
          <w:szCs w:val="18"/>
        </w:rPr>
        <w:t xml:space="preserve">    pub bump: u8,</w:t>
      </w:r>
    </w:p>
    <w:p>
      <w:pPr>
        <w:shd w:fill="F0F0F0" w:val="clear"/>
        <w:spacing w:after="40" w:before="40"/>
        <w:ind w:left="360"/>
      </w:pPr>
      <w:r>
        <w:rPr>
          <w:rFonts w:ascii="Courier New" w:cs="Courier New" w:eastAsia="Courier New" w:hAnsi="Courier New"/>
          <w:color w:val="0F1F2E"/>
          <w:sz w:val="18"/>
          <w:szCs w:val="18"/>
        </w:rPr>
        <w:t xml:space="preserve">}</w:t>
      </w:r>
    </w:p>
    <w:p>
      <w:pPr>
        <w:spacing w:after="40" w:before="40"/>
      </w:pP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V3: renomeado total_lent → total_disbursed (linguagem CCB). Adicionado scd_authority para validação de CPIs — apenas a SCD parceira pode acionar disburse_ccb e receive_repayment.</w:t>
      </w:r>
    </w:p>
    <w:p>
      <w:pPr>
        <w:spacing w:after="80" w:before="80"/>
      </w:pPr>
    </w:p>
    <w:p>
      <w:pPr>
        <w:pStyle w:val="Heading2"/>
        <w:spacing w:after="100" w:before="280"/>
      </w:pPr>
      <w:r>
        <w:rPr>
          <w:rFonts w:ascii="Arial" w:cs="Arial" w:eastAsia="Arial" w:hAnsi="Arial"/>
          <w:b/>
          <w:bCs/>
          <w:color w:val="1A3A5C"/>
          <w:sz w:val="26"/>
          <w:szCs w:val="26"/>
        </w:rPr>
        <w:t xml:space="preserve">1.3  Fonte de Verdade de Liquidez</w:t>
      </w:r>
    </w:p>
    <w:p>
      <w:pPr>
        <w:shd w:fill="F0F0F0" w:val="clear"/>
        <w:spacing w:after="40" w:before="40"/>
        <w:ind w:left="360"/>
      </w:pPr>
      <w:r>
        <w:rPr>
          <w:rFonts w:ascii="Courier New" w:cs="Courier New" w:eastAsia="Courier New" w:hAnsi="Courier New"/>
          <w:color w:val="0F1F2E"/>
          <w:sz w:val="18"/>
          <w:szCs w:val="18"/>
        </w:rPr>
        <w:t xml:space="preserve">// ✅ CORRETO — saldo real da ATA</w:t>
      </w:r>
    </w:p>
    <w:p>
      <w:pPr>
        <w:shd w:fill="F0F0F0" w:val="clear"/>
        <w:spacing w:after="40" w:before="40"/>
        <w:ind w:left="360"/>
      </w:pPr>
      <w:r>
        <w:rPr>
          <w:rFonts w:ascii="Courier New" w:cs="Courier New" w:eastAsia="Courier New" w:hAnsi="Courier New"/>
          <w:color w:val="0F1F2E"/>
          <w:sz w:val="18"/>
          <w:szCs w:val="18"/>
        </w:rPr>
        <w:t xml:space="preserve">let available = vault_ata.amount;</w:t>
      </w:r>
    </w:p>
    <w:p>
      <w:pPr>
        <w:shd w:fill="F0F0F0" w:val="clear"/>
        <w:spacing w:after="40" w:before="40"/>
        <w:ind w:left="360"/>
      </w:pPr>
      <w:r>
        <w:rPr>
          <w:rFonts w:ascii="Courier New" w:cs="Courier New" w:eastAsia="Courier New" w:hAnsi="Courier New"/>
          <w:color w:val="0F1F2E"/>
          <w:sz w:val="18"/>
          <w:szCs w:val="18"/>
        </w:rPr>
        <w:t xml:space="preserve"/>
      </w:r>
    </w:p>
    <w:p>
      <w:pPr>
        <w:shd w:fill="F0F0F0" w:val="clear"/>
        <w:spacing w:after="40" w:before="40"/>
        <w:ind w:left="360"/>
      </w:pPr>
      <w:r>
        <w:rPr>
          <w:rFonts w:ascii="Courier New" w:cs="Courier New" w:eastAsia="Courier New" w:hAnsi="Courier New"/>
          <w:color w:val="0F1F2E"/>
          <w:sz w:val="18"/>
          <w:szCs w:val="18"/>
        </w:rPr>
        <w:t xml:space="preserve">// ❌ ERRADO — fórmula cumulativa</w:t>
      </w:r>
    </w:p>
    <w:p>
      <w:pPr>
        <w:shd w:fill="F0F0F0" w:val="clear"/>
        <w:spacing w:after="40" w:before="40"/>
        <w:ind w:left="360"/>
      </w:pPr>
      <w:r>
        <w:rPr>
          <w:rFonts w:ascii="Courier New" w:cs="Courier New" w:eastAsia="Courier New" w:hAnsi="Courier New"/>
          <w:color w:val="0F1F2E"/>
          <w:sz w:val="18"/>
          <w:szCs w:val="18"/>
        </w:rPr>
        <w:t xml:space="preserve">let available = state.total_disbursed - state.total_repaid;</w:t>
      </w:r>
    </w:p>
    <w:p>
      <w:pPr>
        <w:spacing w:after="80" w:before="80"/>
      </w:pPr>
    </w:p>
    <w:p>
      <w:pPr>
        <w:pStyle w:val="Heading2"/>
        <w:spacing w:after="100" w:before="280"/>
      </w:pPr>
      <w:r>
        <w:rPr>
          <w:rFonts w:ascii="Arial" w:cs="Arial" w:eastAsia="Arial" w:hAnsi="Arial"/>
          <w:b/>
          <w:bCs/>
          <w:color w:val="1A3A5C"/>
          <w:sz w:val="26"/>
          <w:szCs w:val="26"/>
        </w:rPr>
        <w:t xml:space="preserve">1.4  Instruções do Vault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Who triggers</w:t>
            </w:r>
          </w:p>
        </w:tc>
        <w:tc>
          <w:tcPr>
            <w:tcW w:type="dxa" w:w="46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Change V3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initialize_vault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Admin (multisig SCD)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Requires mandatory scd_authority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deposit_capital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SCD parceira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Replaced deposit_liquidity. Only SCD can deposit.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withdraw_capital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SCD parceira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Verifies vault_ata.amount (not a cumulative formula)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disburse_ccb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Loan Program via CPI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Replaced disburse_loan. Mandatory CPI caller validation.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receive_repayment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Loan Program via CPI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Maintained. Mandatory CPI caller validation.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pause_vault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Admin multisig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Maintained. Triggered by depeg or SCD instruction.</w:t>
            </w:r>
          </w:p>
        </w:tc>
      </w:tr>
    </w:tbl>
    <w:p>
      <w:pPr>
        <w:spacing w:after="80" w:before="80"/>
      </w:pPr>
    </w:p>
    <w:p>
      <w:pPr>
        <w:pStyle w:val="Heading2"/>
        <w:spacing w:after="100" w:before="280"/>
      </w:pPr>
      <w:r>
        <w:rPr>
          <w:rFonts w:ascii="Arial" w:cs="Arial" w:eastAsia="Arial" w:hAnsi="Arial"/>
          <w:b/>
          <w:bCs/>
          <w:color w:val="C0392B"/>
          <w:sz w:val="26"/>
          <w:szCs w:val="26"/>
        </w:rPr>
        <w:t xml:space="preserve">1.5  CPI Caller Validation — BLOQUEADOR MAINNET</w:t>
      </w:r>
    </w:p>
    <w:p>
      <w:pPr>
        <w:pBdr>
          <w:left w:val="single" w:color="C9872A" w:sz="16" w:space="8"/>
        </w:pBdr>
        <w:shd w:fill="FEF3E2" w:val="clear"/>
        <w:spacing w:after="80" w:before="80"/>
        <w:ind w:left="360" w:right="360"/>
      </w:pPr>
      <w:r>
        <w:rPr>
          <w:rFonts w:ascii="Arial" w:cs="Arial" w:eastAsia="Arial" w:hAnsi="Arial"/>
          <w:b/>
          <w:bCs/>
          <w:color w:val="7A4F00"/>
          <w:sz w:val="20"/>
          <w:szCs w:val="20"/>
        </w:rPr>
        <w:t xml:space="preserve">⚠ Without this validation, any program can drain 100% of the vault's funds. Blast radius: total loss of SCD capital.</w:t>
      </w:r>
    </w:p>
    <w:p>
      <w:pPr>
        <w:spacing w:after="40" w:before="40"/>
      </w:pPr>
    </w:p>
    <w:p>
      <w:pPr>
        <w:shd w:fill="F0F0F0" w:val="clear"/>
        <w:spacing w:after="40" w:before="40"/>
        <w:ind w:left="360"/>
      </w:pPr>
      <w:r>
        <w:rPr>
          <w:rFonts w:ascii="Courier New" w:cs="Courier New" w:eastAsia="Courier New" w:hAnsi="Courier New"/>
          <w:color w:val="0F1F2E"/>
          <w:sz w:val="18"/>
          <w:szCs w:val="18"/>
        </w:rPr>
        <w:t xml:space="preserve">// Em disburse_ccb e receive_repayment:</w:t>
      </w:r>
    </w:p>
    <w:p>
      <w:pPr>
        <w:shd w:fill="F0F0F0" w:val="clear"/>
        <w:spacing w:after="40" w:before="40"/>
        <w:ind w:left="360"/>
      </w:pPr>
      <w:r>
        <w:rPr>
          <w:rFonts w:ascii="Courier New" w:cs="Courier New" w:eastAsia="Courier New" w:hAnsi="Courier New"/>
          <w:color w:val="0F1F2E"/>
          <w:sz w:val="18"/>
          <w:szCs w:val="18"/>
        </w:rPr>
        <w:t xml:space="preserve">let expected = Pubkey::create_program_address(</w:t>
      </w:r>
    </w:p>
    <w:p>
      <w:pPr>
        <w:shd w:fill="F0F0F0" w:val="clear"/>
        <w:spacing w:after="40" w:before="40"/>
        <w:ind w:left="360"/>
      </w:pPr>
      <w:r>
        <w:rPr>
          <w:rFonts w:ascii="Courier New" w:cs="Courier New" w:eastAsia="Courier New" w:hAnsi="Courier New"/>
          <w:color w:val="0F1F2E"/>
          <w:sz w:val="18"/>
          <w:szCs w:val="18"/>
        </w:rPr>
        <w:t xml:space="preserve">    &amp;[b"loan_program_authority", &amp;[bump]],</w:t>
      </w:r>
    </w:p>
    <w:p>
      <w:pPr>
        <w:shd w:fill="F0F0F0" w:val="clear"/>
        <w:spacing w:after="40" w:before="40"/>
        <w:ind w:left="360"/>
      </w:pPr>
      <w:r>
        <w:rPr>
          <w:rFonts w:ascii="Courier New" w:cs="Courier New" w:eastAsia="Courier New" w:hAnsi="Courier New"/>
          <w:color w:val="0F1F2E"/>
          <w:sz w:val="18"/>
          <w:szCs w:val="18"/>
        </w:rPr>
        <w:t xml:space="preserve">    &amp;loan_program::ID,</w:t>
      </w:r>
    </w:p>
    <w:p>
      <w:pPr>
        <w:shd w:fill="F0F0F0" w:val="clear"/>
        <w:spacing w:after="40" w:before="40"/>
        <w:ind w:left="360"/>
      </w:pPr>
      <w:r>
        <w:rPr>
          <w:rFonts w:ascii="Courier New" w:cs="Courier New" w:eastAsia="Courier New" w:hAnsi="Courier New"/>
          <w:color w:val="0F1F2E"/>
          <w:sz w:val="18"/>
          <w:szCs w:val="18"/>
        </w:rPr>
        <w:t xml:space="preserve">)?;</w:t>
      </w:r>
    </w:p>
    <w:p>
      <w:pPr>
        <w:shd w:fill="F0F0F0" w:val="clear"/>
        <w:spacing w:after="40" w:before="40"/>
        <w:ind w:left="360"/>
      </w:pPr>
      <w:r>
        <w:rPr>
          <w:rFonts w:ascii="Courier New" w:cs="Courier New" w:eastAsia="Courier New" w:hAnsi="Courier New"/>
          <w:color w:val="0F1F2E"/>
          <w:sz w:val="18"/>
          <w:szCs w:val="18"/>
        </w:rPr>
        <w:t xml:space="preserve">require!(</w:t>
      </w:r>
    </w:p>
    <w:p>
      <w:pPr>
        <w:shd w:fill="F0F0F0" w:val="clear"/>
        <w:spacing w:after="40" w:before="40"/>
        <w:ind w:left="360"/>
      </w:pPr>
      <w:r>
        <w:rPr>
          <w:rFonts w:ascii="Courier New" w:cs="Courier New" w:eastAsia="Courier New" w:hAnsi="Courier New"/>
          <w:color w:val="0F1F2E"/>
          <w:sz w:val="18"/>
          <w:szCs w:val="18"/>
        </w:rPr>
        <w:t xml:space="preserve">    ctx.accounts.caller_authority.key() == expected,</w:t>
      </w:r>
    </w:p>
    <w:p>
      <w:pPr>
        <w:shd w:fill="F0F0F0" w:val="clear"/>
        <w:spacing w:after="40" w:before="40"/>
        <w:ind w:left="360"/>
      </w:pPr>
      <w:r>
        <w:rPr>
          <w:rFonts w:ascii="Courier New" w:cs="Courier New" w:eastAsia="Courier New" w:hAnsi="Courier New"/>
          <w:color w:val="0F1F2E"/>
          <w:sz w:val="18"/>
          <w:szCs w:val="18"/>
        </w:rPr>
        <w:t xml:space="preserve">    GarantiFiError::UnauthorizedCaller</w:t>
      </w:r>
    </w:p>
    <w:p>
      <w:pPr>
        <w:shd w:fill="F0F0F0" w:val="clear"/>
        <w:spacing w:after="40" w:before="40"/>
        <w:ind w:left="360"/>
      </w:pPr>
      <w:r>
        <w:rPr>
          <w:rFonts w:ascii="Courier New" w:cs="Courier New" w:eastAsia="Courier New" w:hAnsi="Courier New"/>
          <w:color w:val="0F1F2E"/>
          <w:sz w:val="18"/>
          <w:szCs w:val="18"/>
        </w:rPr>
        <w:t xml:space="preserve">);</w:t>
      </w:r>
    </w:p>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02</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1A3A5C"/>
                <w:sz w:val="28"/>
                <w:szCs w:val="28"/>
              </w:rPr>
              <w:t xml:space="preserve">Loan Program — TRDC</w:t>
            </w:r>
          </w:p>
          <w:p>
            <w:pPr>
              <w:spacing w:after="0" w:before="0"/>
            </w:pPr>
            <w:r>
              <w:rPr>
                <w:rFonts w:ascii="Arial" w:cs="Arial" w:eastAsia="Arial" w:hAnsi="Arial"/>
                <w:color w:val="5A6B7A"/>
                <w:sz w:val="18"/>
                <w:szCs w:val="18"/>
              </w:rPr>
              <w:t xml:space="preserve">CCB + On-chain Fiduciary Lien</w:t>
            </w:r>
          </w:p>
        </w:tc>
      </w:tr>
    </w:tbl>
    <w:p>
      <w:pPr>
        <w:spacing w:after="80" w:before="80"/>
      </w:pPr>
    </w:p>
    <w:p>
      <w:pPr>
        <w:pStyle w:val="Heading2"/>
        <w:spacing w:after="100" w:before="280"/>
      </w:pPr>
      <w:r>
        <w:rPr>
          <w:rFonts w:ascii="Arial" w:cs="Arial" w:eastAsia="Arial" w:hAnsi="Arial"/>
          <w:b/>
          <w:bCs/>
          <w:color w:val="1A3A5C"/>
          <w:sz w:val="26"/>
          <w:szCs w:val="26"/>
        </w:rPr>
        <w:t xml:space="preserve">2.1  Main Change V3 — From 'LoanAccount' to 'TRDCAccount'</w:t>
      </w:r>
    </w:p>
    <w:p>
      <w:pPr>
        <w:spacing w:after="100" w:before="60"/>
      </w:pPr>
      <w:r>
        <w:rPr>
          <w:rFonts w:ascii="Arial" w:cs="Arial" w:eastAsia="Arial" w:hAnsi="Arial"/>
          <w:color w:val="0F1F2E"/>
          <w:sz w:val="22"/>
          <w:szCs w:val="22"/>
        </w:rPr>
        <w:t xml:space="preserve">The cNFT no longer represents a 'pledged collateral' — it represents a Credit Rights Title/Token (TRDC) derived from a CCB with a fiduciary lien. This semantic change is legally essential to move away from the civil pledge framing.</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3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V2.x (pledge language)</w:t>
            </w:r>
          </w:p>
        </w:tc>
        <w:tc>
          <w:tcPr>
            <w:tcW w:type="dxa" w:w="3726"/>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V3 (AF/CCB language)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Token on-chain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cNFT — 'colateral'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TRDC — Token Representativo de Direito Creditório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Instrumento off-chain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LoanAccount (on-chain only)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with fiduciary lien clause (signed off-chain)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Legal relationship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'Loan with collateral'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Bank loan with title resoluble to the creditor (SCD)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Default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execute_default (on-chain)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Extrajudicial repossession (DL 911/69 + Law 14,711/2023)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Who is the creditor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Vault Program (ilegal)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SCD licenciada BACEN (legal)</w:t>
            </w:r>
          </w:p>
        </w:tc>
      </w:tr>
    </w:tbl>
    <w:p>
      <w:pPr>
        <w:spacing w:after="80" w:before="80"/>
      </w:pPr>
    </w:p>
    <w:p>
      <w:pPr>
        <w:pStyle w:val="Heading2"/>
        <w:spacing w:after="100" w:before="280"/>
      </w:pPr>
      <w:r>
        <w:rPr>
          <w:rFonts w:ascii="Arial" w:cs="Arial" w:eastAsia="Arial" w:hAnsi="Arial"/>
          <w:b/>
          <w:bCs/>
          <w:color w:val="1A3A5C"/>
          <w:sz w:val="26"/>
          <w:szCs w:val="26"/>
        </w:rPr>
        <w:t xml:space="preserve">2.2  TRDCAccount — 17 campos</w:t>
      </w:r>
    </w:p>
    <w:p>
      <w:pPr>
        <w:shd w:fill="F0F0F0" w:val="clear"/>
        <w:spacing w:after="40" w:before="40"/>
        <w:ind w:left="360"/>
      </w:pPr>
      <w:r>
        <w:rPr>
          <w:rFonts w:ascii="Courier New" w:cs="Courier New" w:eastAsia="Courier New" w:hAnsi="Courier New"/>
          <w:color w:val="0F1F2E"/>
          <w:sz w:val="18"/>
          <w:szCs w:val="18"/>
        </w:rPr>
        <w:t xml:space="preserve">pub struct TRDCAccount {</w:t>
      </w:r>
    </w:p>
    <w:p>
      <w:pPr>
        <w:shd w:fill="F0F0F0" w:val="clear"/>
        <w:spacing w:after="40" w:before="40"/>
        <w:ind w:left="360"/>
      </w:pPr>
      <w:r>
        <w:rPr>
          <w:rFonts w:ascii="Courier New" w:cs="Courier New" w:eastAsia="Courier New" w:hAnsi="Courier New"/>
          <w:color w:val="0F1F2E"/>
          <w:sz w:val="18"/>
          <w:szCs w:val="18"/>
        </w:rPr>
        <w:t xml:space="preserve">    pub borrower: Pubkey,              // Borrower wallet</w:t>
      </w:r>
    </w:p>
    <w:p>
      <w:pPr>
        <w:shd w:fill="F0F0F0" w:val="clear"/>
        <w:spacing w:after="40" w:before="40"/>
        <w:ind w:left="360"/>
      </w:pPr>
      <w:r>
        <w:rPr>
          <w:rFonts w:ascii="Courier New" w:cs="Courier New" w:eastAsia="Courier New" w:hAnsi="Courier New"/>
          <w:color w:val="0F1F2E"/>
          <w:sz w:val="18"/>
          <w:szCs w:val="18"/>
        </w:rPr>
        <w:t xml:space="preserve">    pub scd_pubkey: Pubkey,            // NEW V3: formal creditor SCD key</w:t>
      </w:r>
    </w:p>
    <w:p>
      <w:pPr>
        <w:shd w:fill="F0F0F0" w:val="clear"/>
        <w:spacing w:after="40" w:before="40"/>
        <w:ind w:left="360"/>
      </w:pPr>
      <w:r>
        <w:rPr>
          <w:rFonts w:ascii="Courier New" w:cs="Courier New" w:eastAsia="Courier New" w:hAnsi="Courier New"/>
          <w:color w:val="0F1F2E"/>
          <w:sz w:val="18"/>
          <w:szCs w:val="18"/>
        </w:rPr>
        <w:t xml:space="preserve">    pub nft_mint: Pubkey,              // cNFT (TRDC) minted for this CCB</w:t>
      </w:r>
    </w:p>
    <w:p>
      <w:pPr>
        <w:shd w:fill="F0F0F0" w:val="clear"/>
        <w:spacing w:after="40" w:before="40"/>
        <w:ind w:left="360"/>
      </w:pPr>
      <w:r>
        <w:rPr>
          <w:rFonts w:ascii="Courier New" w:cs="Courier New" w:eastAsia="Courier New" w:hAnsi="Courier New"/>
          <w:color w:val="0F1F2E"/>
          <w:sz w:val="18"/>
          <w:szCs w:val="18"/>
        </w:rPr>
        <w:t xml:space="preserve">    pub ccb_hash: [u8; 32],            // NEW V3: SHA-256 of the off-chain CCB</w:t>
      </w:r>
    </w:p>
    <w:p>
      <w:pPr>
        <w:shd w:fill="F0F0F0" w:val="clear"/>
        <w:spacing w:after="40" w:before="40"/>
        <w:ind w:left="360"/>
      </w:pPr>
      <w:r>
        <w:rPr>
          <w:rFonts w:ascii="Courier New" w:cs="Courier New" w:eastAsia="Courier New" w:hAnsi="Courier New"/>
          <w:color w:val="0F1F2E"/>
          <w:sz w:val="18"/>
          <w:szCs w:val="18"/>
        </w:rPr>
        <w:t xml:space="preserve">    pub ccb_external_id: [u8; 32],     // NEW V3: CCB ID in the SCD system</w:t>
      </w:r>
    </w:p>
    <w:p>
      <w:pPr>
        <w:shd w:fill="F0F0F0" w:val="clear"/>
        <w:spacing w:after="40" w:before="40"/>
        <w:ind w:left="360"/>
      </w:pPr>
      <w:r>
        <w:rPr>
          <w:rFonts w:ascii="Courier New" w:cs="Courier New" w:eastAsia="Courier New" w:hAnsi="Courier New"/>
          <w:color w:val="0F1F2E"/>
          <w:sz w:val="18"/>
          <w:szCs w:val="18"/>
        </w:rPr>
        <w:t xml:space="preserve">    pub loan_amount: u64,              // Disbursed amount</w:t>
      </w:r>
    </w:p>
    <w:p>
      <w:pPr>
        <w:shd w:fill="F0F0F0" w:val="clear"/>
        <w:spacing w:after="40" w:before="40"/>
        <w:ind w:left="360"/>
      </w:pPr>
      <w:r>
        <w:rPr>
          <w:rFonts w:ascii="Courier New" w:cs="Courier New" w:eastAsia="Courier New" w:hAnsi="Courier New"/>
          <w:color w:val="0F1F2E"/>
          <w:sz w:val="18"/>
          <w:szCs w:val="18"/>
        </w:rPr>
        <w:t xml:space="preserve">    pub interest_rate_bps: u32,        // 200 = 2%/month</w:t>
      </w:r>
    </w:p>
    <w:p>
      <w:pPr>
        <w:shd w:fill="F0F0F0" w:val="clear"/>
        <w:spacing w:after="40" w:before="40"/>
        <w:ind w:left="360"/>
      </w:pPr>
      <w:r>
        <w:rPr>
          <w:rFonts w:ascii="Courier New" w:cs="Courier New" w:eastAsia="Courier New" w:hAnsi="Courier New"/>
          <w:color w:val="0F1F2E"/>
          <w:sz w:val="18"/>
          <w:szCs w:val="18"/>
        </w:rPr>
        <w:t xml:space="preserve">    pub origination_fee_bps: u16,      // 250 = 2,5%</w:t>
      </w:r>
    </w:p>
    <w:p>
      <w:pPr>
        <w:shd w:fill="F0F0F0" w:val="clear"/>
        <w:spacing w:after="40" w:before="40"/>
        <w:ind w:left="360"/>
      </w:pPr>
      <w:r>
        <w:rPr>
          <w:rFonts w:ascii="Courier New" w:cs="Courier New" w:eastAsia="Courier New" w:hAnsi="Courier New"/>
          <w:color w:val="0F1F2E"/>
          <w:sz w:val="18"/>
          <w:szCs w:val="18"/>
        </w:rPr>
        <w:t xml:space="preserve">    pub start_ts: i64,</w:t>
      </w:r>
    </w:p>
    <w:p>
      <w:pPr>
        <w:shd w:fill="F0F0F0" w:val="clear"/>
        <w:spacing w:after="40" w:before="40"/>
        <w:ind w:left="360"/>
      </w:pPr>
      <w:r>
        <w:rPr>
          <w:rFonts w:ascii="Courier New" w:cs="Courier New" w:eastAsia="Courier New" w:hAnsi="Courier New"/>
          <w:color w:val="0F1F2E"/>
          <w:sz w:val="18"/>
          <w:szCs w:val="18"/>
        </w:rPr>
        <w:t xml:space="preserve">    pub due_ts: i64,</w:t>
      </w:r>
    </w:p>
    <w:p>
      <w:pPr>
        <w:shd w:fill="F0F0F0" w:val="clear"/>
        <w:spacing w:after="40" w:before="40"/>
        <w:ind w:left="360"/>
      </w:pPr>
      <w:r>
        <w:rPr>
          <w:rFonts w:ascii="Courier New" w:cs="Courier New" w:eastAsia="Courier New" w:hAnsi="Courier New"/>
          <w:color w:val="0F1F2E"/>
          <w:sz w:val="18"/>
          <w:szCs w:val="18"/>
        </w:rPr>
        <w:t xml:space="preserve">    pub accrued_interest: u64,</w:t>
      </w:r>
    </w:p>
    <w:p>
      <w:pPr>
        <w:shd w:fill="F0F0F0" w:val="clear"/>
        <w:spacing w:after="40" w:before="40"/>
        <w:ind w:left="360"/>
      </w:pPr>
      <w:r>
        <w:rPr>
          <w:rFonts w:ascii="Courier New" w:cs="Courier New" w:eastAsia="Courier New" w:hAnsi="Courier New"/>
          <w:color w:val="0F1F2E"/>
          <w:sz w:val="18"/>
          <w:szCs w:val="18"/>
        </w:rPr>
        <w:t xml:space="preserve">    pub late_fee_accrued: u64,</w:t>
      </w:r>
    </w:p>
    <w:p>
      <w:pPr>
        <w:shd w:fill="F0F0F0" w:val="clear"/>
        <w:spacing w:after="40" w:before="40"/>
        <w:ind w:left="360"/>
      </w:pPr>
      <w:r>
        <w:rPr>
          <w:rFonts w:ascii="Courier New" w:cs="Courier New" w:eastAsia="Courier New" w:hAnsi="Courier New"/>
          <w:color w:val="0F1F2E"/>
          <w:sz w:val="18"/>
          <w:szCs w:val="18"/>
        </w:rPr>
        <w:t xml:space="preserve">    pub status: TRDCStatus,</w:t>
      </w:r>
    </w:p>
    <w:p>
      <w:pPr>
        <w:shd w:fill="F0F0F0" w:val="clear"/>
        <w:spacing w:after="40" w:before="40"/>
        <w:ind w:left="360"/>
      </w:pPr>
      <w:r>
        <w:rPr>
          <w:rFonts w:ascii="Courier New" w:cs="Courier New" w:eastAsia="Courier New" w:hAnsi="Courier New"/>
          <w:color w:val="0F1F2E"/>
          <w:sz w:val="18"/>
          <w:szCs w:val="18"/>
        </w:rPr>
        <w:t xml:space="preserve">    pub loan_token_mint: Pubkey,       // USDC ou stablecoin BRL</w:t>
      </w:r>
    </w:p>
    <w:p>
      <w:pPr>
        <w:shd w:fill="F0F0F0" w:val="clear"/>
        <w:spacing w:after="40" w:before="40"/>
        <w:ind w:left="360"/>
      </w:pPr>
      <w:r>
        <w:rPr>
          <w:rFonts w:ascii="Courier New" w:cs="Courier New" w:eastAsia="Courier New" w:hAnsi="Courier New"/>
          <w:color w:val="0F1F2E"/>
          <w:sz w:val="18"/>
          <w:szCs w:val="18"/>
        </w:rPr>
        <w:t xml:space="preserve">    pub loan_token_symbol: [u8; 4],    // Fixed size — required by Borsh</w:t>
      </w:r>
    </w:p>
    <w:p>
      <w:pPr>
        <w:shd w:fill="F0F0F0" w:val="clear"/>
        <w:spacing w:after="40" w:before="40"/>
        <w:ind w:left="360"/>
      </w:pPr>
      <w:r>
        <w:rPr>
          <w:rFonts w:ascii="Courier New" w:cs="Courier New" w:eastAsia="Courier New" w:hAnsi="Courier New"/>
          <w:color w:val="0F1F2E"/>
          <w:sz w:val="18"/>
          <w:szCs w:val="18"/>
        </w:rPr>
        <w:t xml:space="preserve">    pub collateral_value_usd: u64,     // Appraisal value (USD cents)</w:t>
      </w:r>
    </w:p>
    <w:p>
      <w:pPr>
        <w:shd w:fill="F0F0F0" w:val="clear"/>
        <w:spacing w:after="40" w:before="40"/>
        <w:ind w:left="360"/>
      </w:pPr>
      <w:r>
        <w:rPr>
          <w:rFonts w:ascii="Courier New" w:cs="Courier New" w:eastAsia="Courier New" w:hAnsi="Courier New"/>
          <w:color w:val="0F1F2E"/>
          <w:sz w:val="18"/>
          <w:szCs w:val="18"/>
        </w:rPr>
        <w:t xml:space="preserve">    pub bump: u8,</w:t>
      </w:r>
    </w:p>
    <w:p>
      <w:pPr>
        <w:shd w:fill="F0F0F0" w:val="clear"/>
        <w:spacing w:after="40" w:before="40"/>
        <w:ind w:left="360"/>
      </w:pPr>
      <w:r>
        <w:rPr>
          <w:rFonts w:ascii="Courier New" w:cs="Courier New" w:eastAsia="Courier New" w:hAnsi="Courier New"/>
          <w:color w:val="0F1F2E"/>
          <w:sz w:val="18"/>
          <w:szCs w:val="18"/>
        </w:rPr>
        <w:t xml:space="preserve">}</w:t>
      </w:r>
    </w:p>
    <w:p>
      <w:pPr>
        <w:spacing w:after="40" w:before="40"/>
      </w:pP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ccb_hash: SHA-256 do documento CCB assinado off-chain. Permite provar on-chain que o TRDC corresponde a um CCB específico. ccb_external_id: ID do CCB no sistema da SCD parceira — chave de lookup para integração.</w:t>
      </w:r>
    </w:p>
    <w:p>
      <w:pPr>
        <w:spacing w:after="80" w:before="80"/>
      </w:pPr>
    </w:p>
    <w:p>
      <w:pPr>
        <w:pStyle w:val="Heading2"/>
        <w:spacing w:after="100" w:before="280"/>
      </w:pPr>
      <w:r>
        <w:rPr>
          <w:rFonts w:ascii="Arial" w:cs="Arial" w:eastAsia="Arial" w:hAnsi="Arial"/>
          <w:b/>
          <w:bCs/>
          <w:color w:val="1A3A5C"/>
          <w:sz w:val="26"/>
          <w:szCs w:val="26"/>
        </w:rPr>
        <w:t xml:space="preserve">2.3  Estados do TRDC — Máquina de 7 Estados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226"/>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32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Off-chain matching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PENDING_KYC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Initiated by borrower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GarantiFi + SCD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KYC/AML-CFT under review — NEW V3</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PENDING_CCB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KYC aprovado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SCD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being drafted and signed — NEW V3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PENDING_CUSTODY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assinado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GarantiFi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Awaiting asset receipt by custodian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ACTIVE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Custody confirmed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Admin CPI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ativo, ativo custodiado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OVERDUE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due_ts ultrapassado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Cron hourly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in default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DEFAULTED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Execution triggered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SCD + GarantiFi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Extrajudicial search and seizure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REPAID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Full 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quitado, AF liberada, ativo devolvido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RENEWED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renew_ccb executado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Aditivo ao CCB assinado off-chain</w:t>
            </w:r>
          </w:p>
        </w:tc>
      </w:tr>
    </w:tbl>
    <w:p>
      <w:pPr>
        <w:spacing w:after="80" w:before="80"/>
      </w:pPr>
    </w:p>
    <w:p>
      <w:pPr>
        <w:pStyle w:val="Heading2"/>
        <w:spacing w:after="100" w:before="280"/>
      </w:pPr>
      <w:r>
        <w:rPr>
          <w:rFonts w:ascii="Arial" w:cs="Arial" w:eastAsia="Arial" w:hAnsi="Arial"/>
          <w:b/>
          <w:bCs/>
          <w:color w:val="1A3A5C"/>
          <w:sz w:val="26"/>
          <w:szCs w:val="26"/>
        </w:rPr>
        <w:t xml:space="preserve">2.4  create_ccb_trdc — New Main Instruction</w:t>
      </w:r>
    </w:p>
    <w:p>
      <w:pPr>
        <w:spacing w:after="100" w:before="60"/>
      </w:pPr>
      <w:r>
        <w:rPr>
          <w:rFonts w:ascii="Arial" w:cs="Arial" w:eastAsia="Arial" w:hAnsi="Arial"/>
          <w:color w:val="0F1F2E"/>
          <w:sz w:val="22"/>
          <w:szCs w:val="22"/>
        </w:rPr>
        <w:t xml:space="preserve">Replaced create_loan. Validates: loan_amount &gt;= vault.min_ccb_amount · collateral_value * ltv_bps / 10000 &gt;= loan_amount · vault not paused · scd_pubkey matches vault.scd_authority.</w:t>
      </w:r>
    </w:p>
    <w:p>
      <w:pPr>
        <w:spacing w:after="40" w:before="40"/>
      </w:pPr>
    </w:p>
    <w:p>
      <w:pPr>
        <w:shd w:fill="F0F0F0" w:val="clear"/>
        <w:spacing w:after="40" w:before="40"/>
        <w:ind w:left="360"/>
      </w:pPr>
      <w:r>
        <w:rPr>
          <w:rFonts w:ascii="Courier New" w:cs="Courier New" w:eastAsia="Courier New" w:hAnsi="Courier New"/>
          <w:color w:val="0F1F2E"/>
          <w:sz w:val="18"/>
          <w:szCs w:val="18"/>
        </w:rPr>
        <w:t xml:space="preserve">pub fn create_ccb_trdc(ctx: Context&lt;CreateCCB&gt;,</w:t>
      </w:r>
    </w:p>
    <w:p>
      <w:pPr>
        <w:shd w:fill="F0F0F0" w:val="clear"/>
        <w:spacing w:after="40" w:before="40"/>
        <w:ind w:left="360"/>
      </w:pPr>
      <w:r>
        <w:rPr>
          <w:rFonts w:ascii="Courier New" w:cs="Courier New" w:eastAsia="Courier New" w:hAnsi="Courier New"/>
          <w:color w:val="0F1F2E"/>
          <w:sz w:val="18"/>
          <w:szCs w:val="18"/>
        </w:rPr>
        <w:t xml:space="preserve">    loan_amount: u64,</w:t>
      </w:r>
    </w:p>
    <w:p>
      <w:pPr>
        <w:shd w:fill="F0F0F0" w:val="clear"/>
        <w:spacing w:after="40" w:before="40"/>
        <w:ind w:left="360"/>
      </w:pPr>
      <w:r>
        <w:rPr>
          <w:rFonts w:ascii="Courier New" w:cs="Courier New" w:eastAsia="Courier New" w:hAnsi="Courier New"/>
          <w:color w:val="0F1F2E"/>
          <w:sz w:val="18"/>
          <w:szCs w:val="18"/>
        </w:rPr>
        <w:t xml:space="preserve">    ccb_hash: [u8; 32],         // Hash of the off-chain CCB</w:t>
      </w:r>
    </w:p>
    <w:p>
      <w:pPr>
        <w:shd w:fill="F0F0F0" w:val="clear"/>
        <w:spacing w:after="40" w:before="40"/>
        <w:ind w:left="360"/>
      </w:pPr>
      <w:r>
        <w:rPr>
          <w:rFonts w:ascii="Courier New" w:cs="Courier New" w:eastAsia="Courier New" w:hAnsi="Courier New"/>
          <w:color w:val="0F1F2E"/>
          <w:sz w:val="18"/>
          <w:szCs w:val="18"/>
        </w:rPr>
        <w:t xml:space="preserve">    ccb_external_id: [u8; 32],  // ID no sistema SCD</w:t>
      </w:r>
    </w:p>
    <w:p>
      <w:pPr>
        <w:shd w:fill="F0F0F0" w:val="clear"/>
        <w:spacing w:after="40" w:before="40"/>
        <w:ind w:left="360"/>
      </w:pPr>
      <w:r>
        <w:rPr>
          <w:rFonts w:ascii="Courier New" w:cs="Courier New" w:eastAsia="Courier New" w:hAnsi="Courier New"/>
          <w:color w:val="0F1F2E"/>
          <w:sz w:val="18"/>
          <w:szCs w:val="18"/>
        </w:rPr>
        <w:t xml:space="preserve">    collateral_value_usd: u64,</w:t>
      </w:r>
    </w:p>
    <w:p>
      <w:pPr>
        <w:shd w:fill="F0F0F0" w:val="clear"/>
        <w:spacing w:after="40" w:before="40"/>
        <w:ind w:left="360"/>
      </w:pPr>
      <w:r>
        <w:rPr>
          <w:rFonts w:ascii="Courier New" w:cs="Courier New" w:eastAsia="Courier New" w:hAnsi="Courier New"/>
          <w:color w:val="0F1F2E"/>
          <w:sz w:val="18"/>
          <w:szCs w:val="18"/>
        </w:rPr>
        <w:t xml:space="preserve">    due_ts: i64,</w:t>
      </w:r>
    </w:p>
    <w:p>
      <w:pPr>
        <w:shd w:fill="F0F0F0" w:val="clear"/>
        <w:spacing w:after="40" w:before="40"/>
        <w:ind w:left="360"/>
      </w:pPr>
      <w:r>
        <w:rPr>
          <w:rFonts w:ascii="Courier New" w:cs="Courier New" w:eastAsia="Courier New" w:hAnsi="Courier New"/>
          <w:color w:val="0F1F2E"/>
          <w:sz w:val="18"/>
          <w:szCs w:val="18"/>
        </w:rPr>
        <w:t xml:space="preserve">    interest_rate_bps: u32,</w:t>
      </w:r>
    </w:p>
    <w:p>
      <w:pPr>
        <w:shd w:fill="F0F0F0" w:val="clear"/>
        <w:spacing w:after="40" w:before="40"/>
        <w:ind w:left="360"/>
      </w:pPr>
      <w:r>
        <w:rPr>
          <w:rFonts w:ascii="Courier New" w:cs="Courier New" w:eastAsia="Courier New" w:hAnsi="Courier New"/>
          <w:color w:val="0F1F2E"/>
          <w:sz w:val="18"/>
          <w:szCs w:val="18"/>
        </w:rPr>
        <w:t xml:space="preserve">) -&gt; Result&lt;()&gt; {</w:t>
      </w:r>
    </w:p>
    <w:p>
      <w:pPr>
        <w:shd w:fill="F0F0F0" w:val="clear"/>
        <w:spacing w:after="40" w:before="40"/>
        <w:ind w:left="360"/>
      </w:pPr>
      <w:r>
        <w:rPr>
          <w:rFonts w:ascii="Courier New" w:cs="Courier New" w:eastAsia="Courier New" w:hAnsi="Courier New"/>
          <w:color w:val="0F1F2E"/>
          <w:sz w:val="18"/>
          <w:szCs w:val="18"/>
        </w:rPr>
        <w:t xml:space="preserve">    // Mint the TRDC (cNFT Bubblegum) pointing to ccb_hash</w:t>
      </w:r>
    </w:p>
    <w:p>
      <w:pPr>
        <w:shd w:fill="F0F0F0" w:val="clear"/>
        <w:spacing w:after="40" w:before="40"/>
        <w:ind w:left="360"/>
      </w:pPr>
      <w:r>
        <w:rPr>
          <w:rFonts w:ascii="Courier New" w:cs="Courier New" w:eastAsia="Courier New" w:hAnsi="Courier New"/>
          <w:color w:val="0F1F2E"/>
          <w:sz w:val="18"/>
          <w:szCs w:val="18"/>
        </w:rPr>
        <w:t xml:space="preserve">    // Status inicial: PENDING_KYC</w:t>
      </w:r>
    </w:p>
    <w:p>
      <w:pPr>
        <w:shd w:fill="F0F0F0" w:val="clear"/>
        <w:spacing w:after="40" w:before="40"/>
        <w:ind w:left="360"/>
      </w:pPr>
      <w:r>
        <w:rPr>
          <w:rFonts w:ascii="Courier New" w:cs="Courier New" w:eastAsia="Courier New" w:hAnsi="Courier New"/>
          <w:color w:val="0F1F2E"/>
          <w:sz w:val="18"/>
          <w:szCs w:val="18"/>
        </w:rPr>
        <w:t xml:space="preserve">    // Does not call disburse_ccb here — awaits custody confirmation</w:t>
      </w:r>
    </w:p>
    <w:p>
      <w:pPr>
        <w:shd w:fill="F0F0F0" w:val="clear"/>
        <w:spacing w:after="40" w:before="40"/>
        <w:ind w:left="360"/>
      </w:pPr>
      <w:r>
        <w:rPr>
          <w:rFonts w:ascii="Courier New" w:cs="Courier New" w:eastAsia="Courier New" w:hAnsi="Courier New"/>
          <w:color w:val="0F1F2E"/>
          <w:sz w:val="18"/>
          <w:szCs w:val="18"/>
        </w:rPr>
        <w:t xml:space="preserve">}</w:t>
      </w:r>
    </w:p>
    <w:p>
      <w:pPr>
        <w:spacing w:after="80" w:before="80"/>
      </w:pPr>
    </w:p>
    <w:p>
      <w:pPr>
        <w:pStyle w:val="Heading2"/>
        <w:spacing w:after="100" w:before="280"/>
      </w:pPr>
      <w:r>
        <w:rPr>
          <w:rFonts w:ascii="Arial" w:cs="Arial" w:eastAsia="Arial" w:hAnsi="Arial"/>
          <w:b/>
          <w:bCs/>
          <w:color w:val="1A3A5C"/>
          <w:sz w:val="26"/>
          <w:szCs w:val="26"/>
        </w:rPr>
        <w:t xml:space="preserve">2.5  confirm_custody — Transição PENDING_CUSTODY → ACTIVE</w:t>
      </w:r>
    </w:p>
    <w:p>
      <w:pPr>
        <w:spacing w:after="100" w:before="60"/>
      </w:pPr>
      <w:r>
        <w:rPr>
          <w:rFonts w:ascii="Arial" w:cs="Arial" w:eastAsia="Arial" w:hAnsi="Arial"/>
          <w:color w:val="0F1F2E"/>
          <w:sz w:val="22"/>
          <w:szCs w:val="22"/>
        </w:rPr>
        <w:t xml:space="preserve">Chamada pelo Admin após o custodiante confirmar recebimento físico do ativo. Dispara o disburse_ccb via CPI para o Vault Program. Esta separação é importante: o dinheiro só sai após o ativo estar fisicamente guardado.</w:t>
      </w:r>
    </w:p>
    <w:p>
      <w:pPr>
        <w:spacing w:after="80" w:before="80"/>
      </w:pPr>
    </w:p>
    <w:p>
      <w:pPr>
        <w:pStyle w:val="Heading2"/>
        <w:spacing w:after="100" w:before="280"/>
      </w:pPr>
      <w:r>
        <w:rPr>
          <w:rFonts w:ascii="Arial" w:cs="Arial" w:eastAsia="Arial" w:hAnsi="Arial"/>
          <w:b/>
          <w:bCs/>
          <w:color w:val="1A3A5C"/>
          <w:sz w:val="26"/>
          <w:szCs w:val="26"/>
        </w:rPr>
        <w:t xml:space="preserve">2.6  renew_ccb — Renovação com Aditivo</w:t>
      </w:r>
    </w:p>
    <w:p>
      <w:pPr>
        <w:shd w:fill="F0F0F0" w:val="clear"/>
        <w:spacing w:after="40" w:before="40"/>
        <w:ind w:left="360"/>
      </w:pPr>
      <w:r>
        <w:rPr>
          <w:rFonts w:ascii="Courier New" w:cs="Courier New" w:eastAsia="Courier New" w:hAnsi="Courier New"/>
          <w:color w:val="0F1F2E"/>
          <w:sz w:val="18"/>
          <w:szCs w:val="18"/>
        </w:rPr>
        <w:t xml:space="preserve">pub fn renew_ccb(ctx: Context&lt;RenewCCB&gt;,</w:t>
      </w:r>
    </w:p>
    <w:p>
      <w:pPr>
        <w:shd w:fill="F0F0F0" w:val="clear"/>
        <w:spacing w:after="40" w:before="40"/>
        <w:ind w:left="360"/>
      </w:pPr>
      <w:r>
        <w:rPr>
          <w:rFonts w:ascii="Courier New" w:cs="Courier New" w:eastAsia="Courier New" w:hAnsi="Courier New"/>
          <w:color w:val="0F1F2E"/>
          <w:sz w:val="18"/>
          <w:szCs w:val="18"/>
        </w:rPr>
        <w:t xml:space="preserve">    new_due_ts: i64,</w:t>
      </w:r>
    </w:p>
    <w:p>
      <w:pPr>
        <w:shd w:fill="F0F0F0" w:val="clear"/>
        <w:spacing w:after="40" w:before="40"/>
        <w:ind w:left="360"/>
      </w:pPr>
      <w:r>
        <w:rPr>
          <w:rFonts w:ascii="Courier New" w:cs="Courier New" w:eastAsia="Courier New" w:hAnsi="Courier New"/>
          <w:color w:val="0F1F2E"/>
          <w:sz w:val="18"/>
          <w:szCs w:val="18"/>
        </w:rPr>
        <w:t xml:space="preserve">    new_ccb_hash: [u8; 32],   // Hash do ADITIVO ao CCB</w:t>
      </w:r>
    </w:p>
    <w:p>
      <w:pPr>
        <w:shd w:fill="F0F0F0" w:val="clear"/>
        <w:spacing w:after="40" w:before="40"/>
        <w:ind w:left="360"/>
      </w:pPr>
      <w:r>
        <w:rPr>
          <w:rFonts w:ascii="Courier New" w:cs="Courier New" w:eastAsia="Courier New" w:hAnsi="Courier New"/>
          <w:color w:val="0F1F2E"/>
          <w:sz w:val="18"/>
          <w:szCs w:val="18"/>
        </w:rPr>
        <w:t xml:space="preserve">) -&gt; Result&lt;()&gt; {</w:t>
      </w:r>
    </w:p>
    <w:p>
      <w:pPr>
        <w:shd w:fill="F0F0F0" w:val="clear"/>
        <w:spacing w:after="40" w:before="40"/>
        <w:ind w:left="360"/>
      </w:pPr>
      <w:r>
        <w:rPr>
          <w:rFonts w:ascii="Courier New" w:cs="Courier New" w:eastAsia="Courier New" w:hAnsi="Courier New"/>
          <w:color w:val="0F1F2E"/>
          <w:sz w:val="18"/>
          <w:szCs w:val="18"/>
        </w:rPr>
        <w:t xml:space="preserve">    // Tomador paga juros acumulados + mora</w:t>
      </w:r>
    </w:p>
    <w:p>
      <w:pPr>
        <w:shd w:fill="F0F0F0" w:val="clear"/>
        <w:spacing w:after="40" w:before="40"/>
        <w:ind w:left="360"/>
      </w:pPr>
      <w:r>
        <w:rPr>
          <w:rFonts w:ascii="Courier New" w:cs="Courier New" w:eastAsia="Courier New" w:hAnsi="Courier New"/>
          <w:color w:val="0F1F2E"/>
          <w:sz w:val="18"/>
          <w:szCs w:val="18"/>
        </w:rPr>
        <w:t xml:space="preserve">    // Principal mantido — sem nova avaliação nem logística</w:t>
      </w:r>
    </w:p>
    <w:p>
      <w:pPr>
        <w:shd w:fill="F0F0F0" w:val="clear"/>
        <w:spacing w:after="40" w:before="40"/>
        <w:ind w:left="360"/>
      </w:pPr>
      <w:r>
        <w:rPr>
          <w:rFonts w:ascii="Courier New" w:cs="Courier New" w:eastAsia="Courier New" w:hAnsi="Courier New"/>
          <w:color w:val="0F1F2E"/>
          <w:sz w:val="18"/>
          <w:szCs w:val="18"/>
        </w:rPr>
        <w:t xml:space="preserve">    // NFT (TRDC) permanece no PDA — metadados atualizados</w:t>
      </w:r>
    </w:p>
    <w:p>
      <w:pPr>
        <w:shd w:fill="F0F0F0" w:val="clear"/>
        <w:spacing w:after="40" w:before="40"/>
        <w:ind w:left="360"/>
      </w:pPr>
      <w:r>
        <w:rPr>
          <w:rFonts w:ascii="Courier New" w:cs="Courier New" w:eastAsia="Courier New" w:hAnsi="Courier New"/>
          <w:color w:val="0F1F2E"/>
          <w:sz w:val="18"/>
          <w:szCs w:val="18"/>
        </w:rPr>
        <w:t xml:space="preserve">    // Novo ccb_hash = hash do aditivo assinado off-chain</w:t>
      </w:r>
    </w:p>
    <w:p>
      <w:pPr>
        <w:shd w:fill="F0F0F0" w:val="clear"/>
        <w:spacing w:after="40" w:before="40"/>
        <w:ind w:left="360"/>
      </w:pPr>
      <w:r>
        <w:rPr>
          <w:rFonts w:ascii="Courier New" w:cs="Courier New" w:eastAsia="Courier New" w:hAnsi="Courier New"/>
          <w:color w:val="0F1F2E"/>
          <w:sz w:val="18"/>
          <w:szCs w:val="18"/>
        </w:rPr>
        <w:t xml:space="preserve">    // Status → RENEWED, novo due_ts</w:t>
      </w:r>
    </w:p>
    <w:p>
      <w:pPr>
        <w:shd w:fill="F0F0F0" w:val="clear"/>
        <w:spacing w:after="40" w:before="40"/>
        <w:ind w:left="360"/>
      </w:pPr>
      <w:r>
        <w:rPr>
          <w:rFonts w:ascii="Courier New" w:cs="Courier New" w:eastAsia="Courier New" w:hAnsi="Courier New"/>
          <w:color w:val="0F1F2E"/>
          <w:sz w:val="18"/>
          <w:szCs w:val="18"/>
        </w:rPr>
        <w:t xml:space="preserve">}</w:t>
      </w:r>
    </w:p>
    <w:p>
      <w:pPr>
        <w:spacing w:after="40" w:before="40"/>
      </w:pP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Renovação elimina custo de avaliação (R$400) e logística (R$0 já no MVP presencial). Margem sobe ~5pp no 2º ciclo. Meta operacional: &gt;60% de taxa de renovação.</w:t>
      </w:r>
    </w:p>
    <w:p>
      <w:pPr>
        <w:spacing w:after="80" w:before="80"/>
      </w:pPr>
    </w:p>
    <w:p>
      <w:pPr>
        <w:pStyle w:val="Heading2"/>
        <w:spacing w:after="100" w:before="280"/>
      </w:pPr>
      <w:r>
        <w:rPr>
          <w:rFonts w:ascii="Arial" w:cs="Arial" w:eastAsia="Arial" w:hAnsi="Arial"/>
          <w:b/>
          <w:bCs/>
          <w:color w:val="1A3A5C"/>
          <w:sz w:val="26"/>
          <w:szCs w:val="26"/>
        </w:rPr>
        <w:t xml:space="preserve">2.7  execute_af_default — Execução Extrajudicial</w:t>
      </w:r>
    </w:p>
    <w:p>
      <w:pPr>
        <w:spacing w:after="100" w:before="60"/>
      </w:pPr>
      <w:r>
        <w:rPr>
          <w:rFonts w:ascii="Arial" w:cs="Arial" w:eastAsia="Arial" w:hAnsi="Arial"/>
          <w:color w:val="0F1F2E"/>
          <w:sz w:val="22"/>
          <w:szCs w:val="22"/>
        </w:rPr>
        <w:t xml:space="preserve">Substituiu execute_default. A execução real ocorre off-chain (DL 911/69 + Lei 14.711/2023). On-chain: atualiza accounting atomicamente e transfere TRDC para wallet de liquidação.</w:t>
      </w:r>
    </w:p>
    <w:p>
      <w:pPr>
        <w:shd w:fill="F0F0F0" w:val="clear"/>
        <w:spacing w:after="40" w:before="40"/>
        <w:ind w:left="360"/>
      </w:pPr>
      <w:r>
        <w:rPr>
          <w:rFonts w:ascii="Courier New" w:cs="Courier New" w:eastAsia="Courier New" w:hAnsi="Courier New"/>
          <w:color w:val="0F1F2E"/>
          <w:sz w:val="18"/>
          <w:szCs w:val="18"/>
        </w:rPr>
        <w:t xml:space="preserve">pub fn execute_af_default(ctx: Context&lt;ExecuteDefault&gt;) -&gt; Result&lt;()&gt; {</w:t>
      </w:r>
    </w:p>
    <w:p>
      <w:pPr>
        <w:shd w:fill="F0F0F0" w:val="clear"/>
        <w:spacing w:after="40" w:before="40"/>
        <w:ind w:left="360"/>
      </w:pPr>
      <w:r>
        <w:rPr>
          <w:rFonts w:ascii="Courier New" w:cs="Courier New" w:eastAsia="Courier New" w:hAnsi="Courier New"/>
          <w:color w:val="0F1F2E"/>
          <w:sz w:val="18"/>
          <w:szCs w:val="18"/>
        </w:rPr>
        <w:t xml:space="preserve">    // Atômico:</w:t>
      </w:r>
    </w:p>
    <w:p>
      <w:pPr>
        <w:shd w:fill="F0F0F0" w:val="clear"/>
        <w:spacing w:after="40" w:before="40"/>
        <w:ind w:left="360"/>
      </w:pPr>
      <w:r>
        <w:rPr>
          <w:rFonts w:ascii="Courier New" w:cs="Courier New" w:eastAsia="Courier New" w:hAnsi="Courier New"/>
          <w:color w:val="0F1F2E"/>
          <w:sz w:val="18"/>
          <w:szCs w:val="18"/>
        </w:rPr>
        <w:t xml:space="preserve">    vault.total_disbursed = vault.total_disbursed.checked_sub(trdc.loan_amount)?;</w:t>
      </w:r>
    </w:p>
    <w:p>
      <w:pPr>
        <w:shd w:fill="F0F0F0" w:val="clear"/>
        <w:spacing w:after="40" w:before="40"/>
        <w:ind w:left="360"/>
      </w:pPr>
      <w:r>
        <w:rPr>
          <w:rFonts w:ascii="Courier New" w:cs="Courier New" w:eastAsia="Courier New" w:hAnsi="Courier New"/>
          <w:color w:val="0F1F2E"/>
          <w:sz w:val="18"/>
          <w:szCs w:val="18"/>
        </w:rPr>
        <w:t xml:space="preserve">    vault.total_defaulted = vault.total_defaulted.checked_add(trdc.loan_amount)?;</w:t>
      </w:r>
    </w:p>
    <w:p>
      <w:pPr>
        <w:shd w:fill="F0F0F0" w:val="clear"/>
        <w:spacing w:after="40" w:before="40"/>
        <w:ind w:left="360"/>
      </w:pPr>
      <w:r>
        <w:rPr>
          <w:rFonts w:ascii="Courier New" w:cs="Courier New" w:eastAsia="Courier New" w:hAnsi="Courier New"/>
          <w:color w:val="0F1F2E"/>
          <w:sz w:val="18"/>
          <w:szCs w:val="18"/>
        </w:rPr>
        <w:t xml:space="preserve">    trdc.status = TRDCStatus::DEFAULTED;</w:t>
      </w:r>
    </w:p>
    <w:p>
      <w:pPr>
        <w:shd w:fill="F0F0F0" w:val="clear"/>
        <w:spacing w:after="40" w:before="40"/>
        <w:ind w:left="360"/>
      </w:pPr>
      <w:r>
        <w:rPr>
          <w:rFonts w:ascii="Courier New" w:cs="Courier New" w:eastAsia="Courier New" w:hAnsi="Courier New"/>
          <w:color w:val="0F1F2E"/>
          <w:sz w:val="18"/>
          <w:szCs w:val="18"/>
        </w:rPr>
        <w:t xml:space="preserve">    // Transfer TRDC to liquidation wallet</w:t>
      </w:r>
    </w:p>
    <w:p>
      <w:pPr>
        <w:shd w:fill="F0F0F0" w:val="clear"/>
        <w:spacing w:after="40" w:before="40"/>
        <w:ind w:left="360"/>
      </w:pPr>
      <w:r>
        <w:rPr>
          <w:rFonts w:ascii="Courier New" w:cs="Courier New" w:eastAsia="Courier New" w:hAnsi="Courier New"/>
          <w:color w:val="0F1F2E"/>
          <w:sz w:val="18"/>
          <w:szCs w:val="18"/>
        </w:rPr>
        <w:t xml:space="preserve">    // Off-chain: SCD inicia busca e apreensão extrajudicial</w:t>
      </w:r>
    </w:p>
    <w:p>
      <w:pPr>
        <w:shd w:fill="F0F0F0" w:val="clear"/>
        <w:spacing w:after="40" w:before="40"/>
        <w:ind w:left="360"/>
      </w:pPr>
      <w:r>
        <w:rPr>
          <w:rFonts w:ascii="Courier New" w:cs="Courier New" w:eastAsia="Courier New" w:hAnsi="Courier New"/>
          <w:color w:val="0F1F2E"/>
          <w:sz w:val="18"/>
          <w:szCs w:val="18"/>
        </w:rPr>
        <w:t xml:space="preserve">}</w:t>
      </w:r>
    </w:p>
    <w:p>
      <w:pPr>
        <w:spacing w:after="80" w:before="80"/>
      </w:pPr>
    </w:p>
    <w:p>
      <w:pPr>
        <w:pStyle w:val="Heading2"/>
        <w:spacing w:after="100" w:before="280"/>
      </w:pPr>
      <w:r>
        <w:rPr>
          <w:rFonts w:ascii="Arial" w:cs="Arial" w:eastAsia="Arial" w:hAnsi="Arial"/>
          <w:b/>
          <w:bCs/>
          <w:color w:val="1A3A5C"/>
          <w:sz w:val="26"/>
          <w:szCs w:val="26"/>
        </w:rPr>
        <w:t xml:space="preserve">2.8  Categorias de Colateral por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1800"/>
        <w:gridCol w:w="1000"/>
        <w:gridCol w:w="2226"/>
      </w:tblGrid>
      <w:tr>
        <w:trPr>
          <w:tblHeader/>
        </w:trPr>
        <w:tc>
          <w:tcPr>
            <w:tcW w:type="dxa" w:w="15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Appraisal</w:t>
            </w:r>
          </w:p>
        </w:tc>
        <w:tc>
          <w:tcPr>
            <w:tcW w:type="dxa" w:w="10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LTV</w:t>
            </w:r>
          </w:p>
        </w:tc>
        <w:tc>
          <w:tcPr>
            <w:tcW w:type="dxa" w:w="18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Custody</w:t>
            </w:r>
          </w:p>
        </w:tc>
        <w:tc>
          <w:tcPr>
            <w:tcW w:type="dxa" w:w="10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26"/>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Legal Note V3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Watches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Triangular V1.2 (Online + Offline + Market)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50–60%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Partner custodian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MVP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 standard AF. Online appraiser 24h + offline 48h. SCD trustee.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Jewelry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Triangular V1.2 (Report + GIA + Market)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40–55%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Partner custodian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MVP ✅</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Same. Gemologist for fine jewelry.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Art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Expert + provenance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30–45%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Climatizada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Phase 1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Subjective appraisal — dispute risk. Recognized expertise required.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Vehicles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FIPE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50–65%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Phase 1 ⚠️</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DL 911/69 already covers vehicle AF — simpler.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Digital NFTs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On-chain oracles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30–50%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On-chain (PDA)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CVM pode classificar como VM.</w:t>
            </w:r>
          </w:p>
        </w:tc>
      </w:tr>
    </w:tbl>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0E7C7B"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02b</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0E7C7B"/>
                <w:sz w:val="28"/>
                <w:szCs w:val="28"/>
              </w:rPr>
              <w:t xml:space="preserve">Triangular Appraisal Model V1.2</w:t>
            </w:r>
          </w:p>
          <w:p>
            <w:pPr>
              <w:spacing w:after="0" w:before="0"/>
            </w:pPr>
            <w:r>
              <w:rPr>
                <w:rFonts w:ascii="Arial" w:cs="Arial" w:eastAsia="Arial" w:hAnsi="Arial"/>
                <w:color w:val="5A6B7A"/>
                <w:sz w:val="18"/>
                <w:szCs w:val="18"/>
              </w:rPr>
              <w:t xml:space="preserve">Three validation layers: Online · Offline · Real Market</w:t>
            </w:r>
          </w:p>
        </w:tc>
      </w:tr>
    </w:tbl>
    <w:p>
      <w:pPr>
        <w:spacing w:after="80" w:before="80"/>
      </w:pPr>
    </w:p>
    <w:p>
      <w:pPr>
        <w:pStyle w:val="Heading2"/>
        <w:spacing w:after="100" w:before="280"/>
      </w:pPr>
      <w:r>
        <w:rPr>
          <w:rFonts w:ascii="Arial" w:cs="Arial" w:eastAsia="Arial" w:hAnsi="Arial"/>
          <w:b/>
          <w:bCs/>
          <w:color w:val="1A3A5C"/>
          <w:sz w:val="26"/>
          <w:szCs w:val="26"/>
        </w:rPr>
        <w:t xml:space="preserve">02b.1  Conceito e Fluxo</w:t>
      </w:r>
    </w:p>
    <w:p>
      <w:pPr>
        <w:spacing w:after="100" w:before="60"/>
      </w:pPr>
      <w:r>
        <w:rPr>
          <w:rFonts w:ascii="Arial" w:cs="Arial" w:eastAsia="Arial" w:hAnsi="Arial"/>
          <w:color w:val="0F1F2E"/>
          <w:sz w:val="22"/>
          <w:szCs w:val="22"/>
        </w:rPr>
        <w:t xml:space="preserve">No asset value is accepted into the system without passing through all three validation layers. The model was designed to detect two distinct fraud vectors: (1) forged asset or inflated appraisal by a single appraiser; (2) collusion between appraisers who converge, but both are distant from the real market.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00"/>
        <w:gridCol w:w="2100"/>
        <w:gridCol w:w="1026"/>
      </w:tblGrid>
      <w:tr>
        <w:trPr>
          <w:tblHeader/>
        </w:trPr>
        <w:tc>
          <w:tcPr>
            <w:tcW w:type="dxa" w:w="8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7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SLA</w:t>
            </w:r>
          </w:p>
        </w:tc>
        <w:tc>
          <w:tcPr>
            <w:tcW w:type="dxa" w:w="21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Generated data</w:t>
            </w:r>
          </w:p>
        </w:tc>
        <w:tc>
          <w:tcPr>
            <w:tcW w:type="dxa" w:w="1026"/>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1 — Laudo Online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Avaliador remoto certificado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24h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Ref. Number, visual grading, estimated 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R$180–250/laudo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2 — Laudo Offline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Especialista presencial + timegrapher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48h after check-in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Caliber, serial, authenticity, internal condition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R$380–520/laudo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3 — Market Anchoring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Automated system (Chrono24 + WatchCharts)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Automatic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Median, range, trend, auditable snapshot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R$0 (infrastructure cost)</w:t>
            </w:r>
          </w:p>
        </w:tc>
      </w:tr>
    </w:tbl>
    <w:p>
      <w:pPr>
        <w:spacing w:after="80" w:before="80"/>
      </w:pP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Information separation: the appraiser does not see market data during the appraisal — only after submitting the report. This eliminates anchoring bias and makes M6 a genuinely independent check.</w:t>
      </w:r>
    </w:p>
    <w:p>
      <w:pPr>
        <w:spacing w:after="80" w:before="80"/>
      </w:pPr>
    </w:p>
    <w:p>
      <w:pPr>
        <w:pStyle w:val="Heading2"/>
        <w:spacing w:after="100" w:before="280"/>
      </w:pPr>
      <w:r>
        <w:rPr>
          <w:rFonts w:ascii="Arial" w:cs="Arial" w:eastAsia="Arial" w:hAnsi="Arial"/>
          <w:b/>
          <w:bCs/>
          <w:color w:val="1A3A5C"/>
          <w:sz w:val="26"/>
          <w:szCs w:val="26"/>
        </w:rPr>
        <w:t xml:space="preserve">02b.2  Metric M6 — Market Anchoring</w:t>
      </w:r>
    </w:p>
    <w:p>
      <w:pPr>
        <w:spacing w:after="100" w:before="60"/>
      </w:pPr>
      <w:r>
        <w:rPr>
          <w:rFonts w:ascii="Arial" w:cs="Arial" w:eastAsia="Arial" w:hAnsi="Arial"/>
          <w:color w:val="0F1F2E"/>
          <w:sz w:val="22"/>
          <w:szCs w:val="22"/>
        </w:rPr>
        <w:t xml:space="preserve">M6 is an automatic metric calculated by the system after each report is submitted. It penalizes appraisers whose value diverges from the market median, making the cost of collusion higher than the benefit.</w:t>
      </w:r>
    </w:p>
    <w:p>
      <w:pPr>
        <w:spacing w:after="80" w:before="80"/>
      </w:pPr>
    </w:p>
    <w:p>
      <w:pPr>
        <w:shd w:fill="F0F0F0" w:val="clear"/>
        <w:spacing w:after="40" w:before="40"/>
        <w:ind w:left="360"/>
      </w:pPr>
      <w:r>
        <w:rPr>
          <w:rFonts w:ascii="Courier New" w:cs="Courier New" w:eastAsia="Courier New" w:hAnsi="Courier New"/>
          <w:color w:val="0F1F2E"/>
          <w:sz w:val="18"/>
          <w:szCs w:val="18"/>
        </w:rPr>
        <w:t xml:space="preserve">δ_mercado = |valor_avaliador - mediana_mercado| / mediana_mercado × 100</w:t>
      </w:r>
    </w:p>
    <w:p>
      <w:pPr>
        <w:shd w:fill="F0F0F0" w:val="clear"/>
        <w:spacing w:after="40" w:before="40"/>
        <w:ind w:left="360"/>
      </w:pPr>
      <w:r>
        <w:rPr>
          <w:rFonts w:ascii="Courier New" w:cs="Courier New" w:eastAsia="Courier New" w:hAnsi="Courier New"/>
          <w:color w:val="0F1F2E"/>
          <w:sz w:val="18"/>
          <w:szCs w:val="18"/>
        </w:rPr>
        <w:t xml:space="preserve"/>
      </w:r>
    </w:p>
    <w:p>
      <w:pPr>
        <w:shd w:fill="F0F0F0" w:val="clear"/>
        <w:spacing w:after="40" w:before="40"/>
        <w:ind w:left="360"/>
      </w:pPr>
      <w:r>
        <w:rPr>
          <w:rFonts w:ascii="Courier New" w:cs="Courier New" w:eastAsia="Courier New" w:hAnsi="Courier New"/>
          <w:color w:val="0F1F2E"/>
          <w:sz w:val="18"/>
          <w:szCs w:val="18"/>
        </w:rPr>
        <w:t xml:space="preserve">δ ≤ 10%  →  100 pts (sem penalidade)</w:t>
      </w:r>
    </w:p>
    <w:p>
      <w:pPr>
        <w:shd w:fill="F0F0F0" w:val="clear"/>
        <w:spacing w:after="40" w:before="40"/>
        <w:ind w:left="360"/>
      </w:pPr>
      <w:r>
        <w:rPr>
          <w:rFonts w:ascii="Courier New" w:cs="Courier New" w:eastAsia="Courier New" w:hAnsi="Courier New"/>
          <w:color w:val="0F1F2E"/>
          <w:sz w:val="18"/>
          <w:szCs w:val="18"/>
        </w:rPr>
        <w:t xml:space="preserve">δ ≤ 20%  →  75 pts</w:t>
      </w:r>
    </w:p>
    <w:p>
      <w:pPr>
        <w:shd w:fill="F0F0F0" w:val="clear"/>
        <w:spacing w:after="40" w:before="40"/>
        <w:ind w:left="360"/>
      </w:pPr>
      <w:r>
        <w:rPr>
          <w:rFonts w:ascii="Courier New" w:cs="Courier New" w:eastAsia="Courier New" w:hAnsi="Courier New"/>
          <w:color w:val="0F1F2E"/>
          <w:sz w:val="18"/>
          <w:szCs w:val="18"/>
        </w:rPr>
        <w:t xml:space="preserve">δ ≤ 30%  →  45 pts</w:t>
      </w:r>
    </w:p>
    <w:p>
      <w:pPr>
        <w:shd w:fill="F0F0F0" w:val="clear"/>
        <w:spacing w:after="40" w:before="40"/>
        <w:ind w:left="360"/>
      </w:pPr>
      <w:r>
        <w:rPr>
          <w:rFonts w:ascii="Courier New" w:cs="Courier New" w:eastAsia="Courier New" w:hAnsi="Courier New"/>
          <w:color w:val="0F1F2E"/>
          <w:sz w:val="18"/>
          <w:szCs w:val="18"/>
        </w:rPr>
        <w:t xml:space="preserve">δ &gt; 30%  →  10 pts + flag para Super Admin</w:t>
      </w:r>
    </w:p>
    <w:p>
      <w:pPr>
        <w:spacing w:after="80" w:before="80"/>
      </w:pP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Cenário de conluio detectável: avaliador online e offline convergem entre si (M1 OK), mas ambos estão &gt;20% fora do mercado. Alerta vermelho automático — auditoria obrigatória. O sistema notifica ambos sem revelar o par.</w:t>
      </w:r>
    </w:p>
    <w:p>
      <w:pPr>
        <w:spacing w:after="80" w:before="80"/>
      </w:pPr>
    </w:p>
    <w:p>
      <w:pPr>
        <w:pStyle w:val="Heading2"/>
        <w:spacing w:after="100" w:before="280"/>
      </w:pPr>
      <w:r>
        <w:rPr>
          <w:rFonts w:ascii="Arial" w:cs="Arial" w:eastAsia="Arial" w:hAnsi="Arial"/>
          <w:b/>
          <w:bCs/>
          <w:color w:val="1A3A5C"/>
          <w:sz w:val="26"/>
          <w:szCs w:val="26"/>
        </w:rPr>
        <w:t xml:space="preserve">02b.3  Composição do Score do Avaliador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4926"/>
      </w:tblGrid>
      <w:tr>
        <w:trPr>
          <w:tblHeader/>
        </w:trPr>
        <w:tc>
          <w:tcPr>
            <w:tcW w:type="dxa" w:w="5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26"/>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M1 — Online↔Offline Convergence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Difference between online and offline appraisal within tolerance (was 40% in V2.x, reduced to accommodate M6)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M2 — Report Completeness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20%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All required fields filled in, photos/video attached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M3 — SLA Compliance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Report delivered within the promised timeframe (24h online / 48h offline)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M4 — Historical Consistency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Appraiser's coherence with their own previous reports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M5 — Dispute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Proportion of reports disputed by the borrower or audit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M6 — Market Anchoring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10%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Proximity of the appraised value to the market median (new V2.6)</w:t>
            </w:r>
          </w:p>
        </w:tc>
      </w:tr>
    </w:tbl>
    <w:p>
      <w:pPr>
        <w:spacing w:after="80" w:before="80"/>
      </w:pPr>
    </w:p>
    <w:p>
      <w:pPr>
        <w:pStyle w:val="Heading2"/>
        <w:spacing w:after="100" w:before="280"/>
      </w:pPr>
      <w:r>
        <w:rPr>
          <w:rFonts w:ascii="Arial" w:cs="Arial" w:eastAsia="Arial" w:hAnsi="Arial"/>
          <w:b/>
          <w:bCs/>
          <w:color w:val="1A3A5C"/>
          <w:sz w:val="26"/>
          <w:szCs w:val="26"/>
        </w:rPr>
        <w:t xml:space="preserve">02b.4  Grading and Set Multipliers</w:t>
      </w:r>
    </w:p>
    <w:p>
      <w:pPr>
        <w:spacing w:after="100" w:before="60"/>
      </w:pPr>
      <w:r>
        <w:rPr>
          <w:rFonts w:ascii="Arial" w:cs="Arial" w:eastAsia="Arial" w:hAnsi="Arial"/>
          <w:color w:val="0F1F2E"/>
          <w:sz w:val="22"/>
          <w:szCs w:val="22"/>
        </w:rPr>
        <w:t xml:space="preserve">Grading is applied by the offline appraiser and directly impacts the final appraised value. The system automatically calculates the final value: Final_Value = Base_Value × Grade_Factor × Set_Multiplier.</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826"/>
      </w:tblGrid>
      <w:tr>
        <w:trPr>
          <w:tblHeader/>
        </w:trPr>
        <w:tc>
          <w:tcPr>
            <w:tcW w:type="dxa" w:w="1200"/>
            <w:tcBorders>
              <w:top w:val="single" w:color="C9872A" w:sz="1"/>
              <w:left w:val="single" w:color="C9872A" w:sz="1"/>
              <w:bottom w:val="single" w:color="C9872A" w:sz="1"/>
              <w:right w:val="single" w:color="C9872A" w:sz="1"/>
            </w:tcBorders>
            <w:shd w:fill="C9872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000"/>
            <w:tcBorders>
              <w:top w:val="single" w:color="C9872A" w:sz="1"/>
              <w:left w:val="single" w:color="C9872A" w:sz="1"/>
              <w:bottom w:val="single" w:color="C9872A" w:sz="1"/>
              <w:right w:val="single" w:color="C9872A" w:sz="1"/>
            </w:tcBorders>
            <w:shd w:fill="C9872A" w:val="clear"/>
            <w:tcMar>
              <w:top w:type="dxa" w:w="80"/>
              <w:left w:type="dxa" w:w="120"/>
              <w:bottom w:type="dxa" w:w="80"/>
              <w:right w:type="dxa" w:w="120"/>
            </w:tcMar>
          </w:tcPr>
          <w:p>
            <w:r>
              <w:rPr>
                <w:rFonts w:ascii="Arial" w:cs="Arial" w:eastAsia="Arial" w:hAnsi="Arial"/>
                <w:b/>
                <w:bCs/>
                <w:color w:val="FFFFFF"/>
                <w:sz w:val="20"/>
                <w:szCs w:val="20"/>
              </w:rPr>
              <w:t xml:space="preserve">Grade Factor</w:t>
            </w:r>
          </w:p>
        </w:tc>
        <w:tc>
          <w:tcPr>
            <w:tcW w:type="dxa" w:w="3826"/>
            <w:tcBorders>
              <w:top w:val="single" w:color="C9872A" w:sz="1"/>
              <w:left w:val="single" w:color="C9872A" w:sz="1"/>
              <w:bottom w:val="single" w:color="C9872A" w:sz="1"/>
              <w:right w:val="single" w:color="C9872A" w:sz="1"/>
            </w:tcBorders>
            <w:shd w:fill="C987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MINT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Factory state, no detectable use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EXCELLENT (EX)</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88%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Minimal use, no visible scratches, original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VERY GOOD (VG)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72%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Light signs of use, perfect functioning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GOOD (G)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55%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Moderate use, minor cosmetic defects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FAIR (F)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Visible wear, functional but with defects</w:t>
            </w:r>
          </w:p>
        </w:tc>
      </w:tr>
    </w:tbl>
    <w:p>
      <w:pPr>
        <w:spacing w:after="80" w:before="80"/>
      </w:pPr>
    </w:p>
    <w:p>
      <w:pPr>
        <w:spacing w:after="100" w:before="60"/>
      </w:pPr>
      <w:r>
        <w:rPr>
          <w:rFonts w:ascii="Arial" w:cs="Arial" w:eastAsia="Arial" w:hAnsi="Arial"/>
          <w:color w:val="0F1F2E"/>
          <w:sz w:val="22"/>
          <w:szCs w:val="22"/>
        </w:rPr>
        <w:t xml:space="preserve">Set multipliers: +6% (original box) · +12% (papers/certificates) · +18% (full set: box + papers + tag). Calculated in cascade on the market value, not on the base value.</w:t>
      </w:r>
    </w:p>
    <w:p>
      <w:pPr>
        <w:spacing w:after="80" w:before="80"/>
      </w:pPr>
    </w:p>
    <w:p>
      <w:pPr>
        <w:pStyle w:val="Heading2"/>
        <w:spacing w:after="100" w:before="280"/>
      </w:pPr>
      <w:r>
        <w:rPr>
          <w:rFonts w:ascii="Arial" w:cs="Arial" w:eastAsia="Arial" w:hAnsi="Arial"/>
          <w:b/>
          <w:bCs/>
          <w:color w:val="1A3A5C"/>
          <w:sz w:val="26"/>
          <w:szCs w:val="26"/>
        </w:rPr>
        <w:t xml:space="preserve">02b.5  Automatic System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26"/>
      </w:tblGrid>
      <w:tr>
        <w:trPr>
          <w:tblHeader/>
        </w:trPr>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2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26"/>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 Alinhamento suspeito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Online and offline converge, but both &gt;20% off market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Mandatory audit. Both notified without revealing the pair.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 Desvio unilateral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One appraiser within market range, the other outside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M6 penalizes the one who deviated. M1 penalizes both.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 Unstable market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&lt; 5 listings for the reference on Chrono24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M6 neutral (score 70, no penalty). Recorded as 'scarce reference'.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 Triple convergence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Online, offline, and market all aligned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Bonus of +5 pts on M1 and M6 for both.</w:t>
            </w:r>
          </w:p>
        </w:tc>
      </w:tr>
    </w:tbl>
    <w:p>
      <w:pPr>
        <w:spacing w:after="80" w:before="80"/>
      </w:pPr>
    </w:p>
    <w:p>
      <w:pPr>
        <w:pBdr>
          <w:left w:val="single" w:color="5B2C8D" w:sz="16" w:space="8"/>
        </w:pBdr>
        <w:shd w:fill="F0EBF8" w:val="clear"/>
        <w:spacing w:after="80" w:before="80"/>
        <w:ind w:left="360" w:right="360"/>
      </w:pPr>
      <w:r>
        <w:rPr>
          <w:rFonts w:ascii="Arial" w:cs="Arial" w:eastAsia="Arial" w:hAnsi="Arial"/>
          <w:b/>
          <w:bCs/>
          <w:color w:val="3A1A6B"/>
          <w:sz w:val="20"/>
          <w:szCs w:val="20"/>
        </w:rPr>
        <w:t xml:space="preserve">⚖ The triangular appraisal replaces the single appraisal from V2.x. Total cost: R$560–770 per transaction (online + offline). Cycle 2+ (renewal): no new appraisal — same custodian, same policy. The triangular model is the primary factor in reducing fraud risk in Architecture A.</w:t>
      </w:r>
    </w:p>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0E7C7B"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03</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0E7C7B"/>
                <w:sz w:val="28"/>
                <w:szCs w:val="28"/>
              </w:rPr>
              <w:t xml:space="preserve">TRDC — Metaplex Bubblegum</w:t>
            </w:r>
          </w:p>
          <w:p>
            <w:pPr>
              <w:spacing w:after="0" w:before="0"/>
            </w:pPr>
            <w:r>
              <w:rPr>
                <w:rFonts w:ascii="Arial" w:cs="Arial" w:eastAsia="Arial" w:hAnsi="Arial"/>
                <w:color w:val="5A6B7A"/>
                <w:sz w:val="18"/>
                <w:szCs w:val="18"/>
              </w:rPr>
              <w:t xml:space="preserve">On-chain Credit Right Representative Token</w:t>
            </w:r>
          </w:p>
        </w:tc>
      </w:tr>
    </w:tbl>
    <w:p>
      <w:pPr>
        <w:spacing w:after="80" w:before="80"/>
      </w:pPr>
    </w:p>
    <w:p>
      <w:pPr>
        <w:pStyle w:val="Heading2"/>
        <w:spacing w:after="100" w:before="280"/>
      </w:pPr>
      <w:r>
        <w:rPr>
          <w:rFonts w:ascii="Arial" w:cs="Arial" w:eastAsia="Arial" w:hAnsi="Arial"/>
          <w:b/>
          <w:bCs/>
          <w:color w:val="1A3A5C"/>
          <w:sz w:val="26"/>
          <w:szCs w:val="26"/>
        </w:rPr>
        <w:t xml:space="preserve">3.1  What is the TRDC</w:t>
      </w:r>
    </w:p>
    <w:p>
      <w:pPr>
        <w:spacing w:after="100" w:before="60"/>
      </w:pPr>
      <w:r>
        <w:rPr>
          <w:rFonts w:ascii="Arial" w:cs="Arial" w:eastAsia="Arial" w:hAnsi="Arial"/>
          <w:color w:val="0F1F2E"/>
          <w:sz w:val="22"/>
          <w:szCs w:val="22"/>
        </w:rPr>
        <w:t xml:space="preserve">The TRDC (Credit Right Representative Token) is a compressed NFT on Solana that represents the current state of a CCB with fiduciary alienation. It is not the physical asset itself — it is the tokenized credit instrument. This distinction is legally essential.</w:t>
      </w:r>
    </w:p>
    <w:p>
      <w:pPr>
        <w:spacing w:after="80" w:before="80"/>
      </w:pPr>
    </w:p>
    <w:p>
      <w:pPr>
        <w:pStyle w:val="Heading2"/>
        <w:spacing w:after="100" w:before="280"/>
      </w:pPr>
      <w:r>
        <w:rPr>
          <w:rFonts w:ascii="Arial" w:cs="Arial" w:eastAsia="Arial" w:hAnsi="Arial"/>
          <w:b/>
          <w:bCs/>
          <w:color w:val="1A3A5C"/>
          <w:sz w:val="26"/>
          <w:szCs w:val="26"/>
        </w:rPr>
        <w:t xml:space="preserve">3.2  TRDC Metadata (on-chain)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26"/>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Value / 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GarantiFi CCB #{id}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symbol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string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TRDC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ccb_hash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[u8;32]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SHA-256 of the CCB signed by the SCD and borrower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ccb_external_id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[u8;32]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ID in the partner SCD's system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TRDCStatus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Current state (PENDING_KYC → ACTIVE → REPAID/DEFAULTED)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loan_amount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u64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value in tokens (6 decimals)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due_ts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i64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CCB maturity date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collateral_category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[u8;8]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'RELOGIO', 'JOIA', 'ARTE', etc.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custodian_id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[u8;32]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Custodian identification hash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appraisal_date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i64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Appraisal report 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scd_pubkey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Pubkey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Formal creditor SCD address</w:t>
            </w:r>
          </w:p>
        </w:tc>
      </w:tr>
    </w:tbl>
    <w:p>
      <w:pPr>
        <w:spacing w:after="80" w:before="80"/>
      </w:pPr>
    </w:p>
    <w:p>
      <w:pPr>
        <w:pStyle w:val="Heading2"/>
        <w:spacing w:after="100" w:before="280"/>
      </w:pPr>
      <w:r>
        <w:rPr>
          <w:rFonts w:ascii="Arial" w:cs="Arial" w:eastAsia="Arial" w:hAnsi="Arial"/>
          <w:b/>
          <w:bCs/>
          <w:color w:val="1A3A5C"/>
          <w:sz w:val="26"/>
          <w:szCs w:val="26"/>
        </w:rPr>
        <w:t xml:space="preserve">3.3  TRDC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35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On-chain action</w:t>
            </w:r>
          </w:p>
        </w:tc>
        <w:tc>
          <w:tcPr>
            <w:tcW w:type="dxa" w:w="3026"/>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Tomador inicia processo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TRDC minting with pending ccb_hash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PENDING_KYC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KYC approved by the SCD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update_trdc_status (PENDING_CCB)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PENDING_CCB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CCB assinado e registrado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update_trdc with definitive ccb_hash + ccb_external_id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PENDING_CUSTODY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Custodiante confirma recebimento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confirm_custody → disburse_ccb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ACTIVE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Tomador renova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renew_ccb with new_ccb_hash (amendment 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RENEWED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Tomador quita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repay_ccb → burn TRDC ou status REPAID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REPAID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Default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execute_af_default → TRDC → liquidation wallet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DEFAULTED</w:t>
            </w:r>
          </w:p>
        </w:tc>
      </w:tr>
    </w:tbl>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5B2C8D"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04</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5B2C8D"/>
                <w:sz w:val="28"/>
                <w:szCs w:val="28"/>
              </w:rPr>
              <w:t xml:space="preserve">KYC/AML-CFT — Compliance Layer</w:t>
            </w:r>
          </w:p>
          <w:p>
            <w:pPr>
              <w:spacing w:after="0" w:before="0"/>
            </w:pPr>
            <w:r>
              <w:rPr>
                <w:rFonts w:ascii="Arial" w:cs="Arial" w:eastAsia="Arial" w:hAnsi="Arial"/>
                <w:color w:val="5A6B7A"/>
                <w:sz w:val="18"/>
                <w:szCs w:val="18"/>
              </w:rPr>
              <w:t xml:space="preserve">New in V3 — requirement from the partner SCD</w:t>
            </w:r>
          </w:p>
        </w:tc>
      </w:tr>
    </w:tbl>
    <w:p>
      <w:pPr>
        <w:spacing w:after="80" w:before="80"/>
      </w:pPr>
    </w:p>
    <w:p>
      <w:pPr>
        <w:pBdr>
          <w:left w:val="single" w:color="5B2C8D" w:sz="16" w:space="8"/>
        </w:pBdr>
        <w:shd w:fill="F0EBF8" w:val="clear"/>
        <w:spacing w:after="80" w:before="80"/>
        <w:ind w:left="360" w:right="360"/>
      </w:pPr>
      <w:r>
        <w:rPr>
          <w:rFonts w:ascii="Arial" w:cs="Arial" w:eastAsia="Arial" w:hAnsi="Arial"/>
          <w:b/>
          <w:bCs/>
          <w:color w:val="3A1A6B"/>
          <w:sz w:val="20"/>
          <w:szCs w:val="20"/>
        </w:rPr>
        <w:t xml:space="preserve">⚖ The partner SCD, as a financial institution regulated by BACEN, is required to perform KYC (Know Your Customer) and AML-CFT (Anti-Money Laundering and Counter-Terrorism Financing) controls on all borrowers. GarantiFi must integrate this process into the onboarding flow.</w:t>
      </w:r>
    </w:p>
    <w:p>
      <w:pPr>
        <w:spacing w:after="80" w:before="80"/>
      </w:pPr>
    </w:p>
    <w:p>
      <w:pPr>
        <w:pStyle w:val="Heading2"/>
        <w:spacing w:after="100" w:before="280"/>
      </w:pPr>
      <w:r>
        <w:rPr>
          <w:rFonts w:ascii="Arial" w:cs="Arial" w:eastAsia="Arial" w:hAnsi="Arial"/>
          <w:b/>
          <w:bCs/>
          <w:color w:val="1A3A5C"/>
          <w:sz w:val="26"/>
          <w:szCs w:val="26"/>
        </w:rPr>
        <w:t xml:space="preserve">4.1  Dados Coletados no 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500"/>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026"/>
            <w:tcBorders>
              <w:top w:val="single" w:color="5B2C8D" w:sz="1"/>
              <w:left w:val="single" w:color="5B2C8D" w:sz="1"/>
              <w:bottom w:val="single" w:color="5B2C8D" w:sz="1"/>
              <w:right w:val="single" w:color="5B2C8D" w:sz="1"/>
            </w:tcBorders>
            <w:shd w:fill="5B2C8D"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CPF/CNPJ</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Full name / Legal name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Sim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Date of birth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Identification document (national ID/driver's license)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Sim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 (upload)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Proof of 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 (upload)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PEP (Pessoa Exposta Politicamente)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Sim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Bureau + self-declaration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Sanctions screening (OFAC, UN, COAF)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Automated bureau check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Asset origin (declaration)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Sim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Invoice or asset proof of ownership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Recommended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Borrower (for appraisal reports)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Wallet Solana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Sim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dApp (auto-captura)</w:t>
            </w:r>
          </w:p>
        </w:tc>
      </w:tr>
    </w:tbl>
    <w:p>
      <w:pPr>
        <w:spacing w:after="80" w:before="80"/>
      </w:pPr>
    </w:p>
    <w:p>
      <w:pPr>
        <w:pStyle w:val="Heading2"/>
        <w:spacing w:after="100" w:before="280"/>
      </w:pPr>
      <w:r>
        <w:rPr>
          <w:rFonts w:ascii="Arial" w:cs="Arial" w:eastAsia="Arial" w:hAnsi="Arial"/>
          <w:b/>
          <w:bCs/>
          <w:color w:val="1A3A5C"/>
          <w:sz w:val="26"/>
          <w:szCs w:val="26"/>
        </w:rPr>
        <w:t xml:space="preserve">4.2  Integration Architecture</w:t>
      </w:r>
    </w:p>
    <w:p>
      <w:pPr>
        <w:pStyle w:val="ListParagraph"/>
        <w:numPr>
          <w:ilvl w:val="0"/>
          <w:numId w:val="2"/>
        </w:numPr>
        <w:spacing w:after="40" w:before="40"/>
      </w:pPr>
      <w:r>
        <w:rPr>
          <w:rFonts w:ascii="Arial" w:cs="Arial" w:eastAsia="Arial" w:hAnsi="Arial"/>
          <w:color w:val="0F1F2E"/>
          <w:sz w:val="22"/>
          <w:szCs w:val="22"/>
        </w:rPr>
        <w:t xml:space="preserve">KYC Bureau: Serpro/Federal Revenue (CPF validation) + commercial provider (BigDataCorp, Neoway, Unico) for facial biometrics and liveness</w:t>
      </w:r>
    </w:p>
    <w:p>
      <w:pPr>
        <w:pStyle w:val="ListParagraph"/>
        <w:numPr>
          <w:ilvl w:val="0"/>
          <w:numId w:val="2"/>
        </w:numPr>
        <w:spacing w:after="40" w:before="40"/>
      </w:pPr>
      <w:r>
        <w:rPr>
          <w:rFonts w:ascii="Arial" w:cs="Arial" w:eastAsia="Arial" w:hAnsi="Arial"/>
          <w:color w:val="0F1F2E"/>
          <w:sz w:val="22"/>
          <w:szCs w:val="22"/>
        </w:rPr>
        <w:t xml:space="preserve">SCD Integration: KYC data is transmitted to the partner SCD via secure API for formal approval prior to CCB issuance</w:t>
      </w:r>
    </w:p>
    <w:p>
      <w:pPr>
        <w:pStyle w:val="ListParagraph"/>
        <w:numPr>
          <w:ilvl w:val="0"/>
          <w:numId w:val="2"/>
        </w:numPr>
        <w:spacing w:after="40" w:before="40"/>
      </w:pPr>
      <w:r>
        <w:rPr>
          <w:rFonts w:ascii="Arial" w:cs="Arial" w:eastAsia="Arial" w:hAnsi="Arial"/>
          <w:color w:val="0F1F2E"/>
          <w:sz w:val="22"/>
          <w:szCs w:val="22"/>
        </w:rPr>
        <w:t xml:space="preserve">Storage: sensitive data stored off-chain (SCD / GarantiFi database with encryption at rest). On-chain: only wallet + document hash (no PII data)</w:t>
      </w:r>
    </w:p>
    <w:p>
      <w:pPr>
        <w:pStyle w:val="ListParagraph"/>
        <w:numPr>
          <w:ilvl w:val="0"/>
          <w:numId w:val="2"/>
        </w:numPr>
        <w:spacing w:after="40" w:before="40"/>
      </w:pPr>
      <w:r>
        <w:rPr>
          <w:rFonts w:ascii="Arial" w:cs="Arial" w:eastAsia="Arial" w:hAnsi="Arial"/>
          <w:color w:val="0F1F2E"/>
          <w:sz w:val="22"/>
          <w:szCs w:val="22"/>
        </w:rPr>
        <w:t xml:space="preserve">Continuous monitoring: sanctions screening on every transaction + PEP alert on renewals</w:t>
      </w:r>
    </w:p>
    <w:p>
      <w:pPr>
        <w:spacing w:after="80" w:before="80"/>
      </w:pPr>
    </w:p>
    <w:p>
      <w:pPr>
        <w:pStyle w:val="Heading2"/>
        <w:spacing w:after="100" w:before="280"/>
      </w:pPr>
      <w:r>
        <w:rPr>
          <w:rFonts w:ascii="Arial" w:cs="Arial" w:eastAsia="Arial" w:hAnsi="Arial"/>
          <w:b/>
          <w:bCs/>
          <w:color w:val="1A3A5C"/>
          <w:sz w:val="26"/>
          <w:szCs w:val="26"/>
        </w:rPr>
        <w:t xml:space="preserve">4.3  KYC States in the TRDC Flow</w:t>
      </w:r>
    </w:p>
    <w:p>
      <w:pPr>
        <w:shd w:fill="F0F0F0" w:val="clear"/>
        <w:spacing w:after="40" w:before="40"/>
        <w:ind w:left="360"/>
      </w:pPr>
      <w:r>
        <w:rPr>
          <w:rFonts w:ascii="Courier New" w:cs="Courier New" w:eastAsia="Courier New" w:hAnsi="Courier New"/>
          <w:color w:val="0F1F2E"/>
          <w:sz w:val="18"/>
          <w:szCs w:val="18"/>
        </w:rPr>
        <w:t xml:space="preserve">KYC_PENDING → KYC_APPROVED → CCB_PENDING → CUSTODY_PENDING → ACTIVE</w:t>
      </w:r>
    </w:p>
    <w:p>
      <w:pPr>
        <w:shd w:fill="F0F0F0" w:val="clear"/>
        <w:spacing w:after="40" w:before="40"/>
        <w:ind w:left="360"/>
      </w:pPr>
      <w:r>
        <w:rPr>
          <w:rFonts w:ascii="Courier New" w:cs="Courier New" w:eastAsia="Courier New" w:hAnsi="Courier New"/>
          <w:color w:val="0F1F2E"/>
          <w:sz w:val="18"/>
          <w:szCs w:val="18"/>
        </w:rPr>
        <w:t xml:space="preserve">             → KYC_REJECTED (borrower cannot proceed)</w:t>
      </w:r>
    </w:p>
    <w:p>
      <w:pPr>
        <w:shd w:fill="F0F0F0" w:val="clear"/>
        <w:spacing w:after="40" w:before="40"/>
        <w:ind w:left="360"/>
      </w:pPr>
      <w:r>
        <w:rPr>
          <w:rFonts w:ascii="Courier New" w:cs="Courier New" w:eastAsia="Courier New" w:hAnsi="Courier New"/>
          <w:color w:val="0F1F2E"/>
          <w:sz w:val="18"/>
          <w:szCs w:val="18"/>
        </w:rPr>
        <w:t xml:space="preserve">             → KYC_REVIEW   (manual review by the SCD)</w:t>
      </w:r>
    </w:p>
    <w:p>
      <w:pPr>
        <w:spacing w:after="40" w:before="40"/>
      </w:pP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KYC is a per-client cost (not per transaction): R$30–80 from the bureau. It is amortized across multiple operations from the same borrower. Priority: borrowers with multiple assets are worth much more in marketing LTV.</w:t>
      </w:r>
    </w:p>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05</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1A3A5C"/>
                <w:sz w:val="28"/>
                <w:szCs w:val="28"/>
              </w:rPr>
              <w:t xml:space="preserve">Interest Model</w:t>
            </w:r>
          </w:p>
          <w:p>
            <w:pPr>
              <w:spacing w:after="0" w:before="0"/>
            </w:pPr>
            <w:r>
              <w:rPr>
                <w:rFonts w:ascii="Arial" w:cs="Arial" w:eastAsia="Arial" w:hAnsi="Arial"/>
                <w:color w:val="5A6B7A"/>
                <w:sz w:val="18"/>
                <w:szCs w:val="18"/>
              </w:rPr>
              <w:t xml:space="preserve">Formula, on-chain accrual and late fees</w:t>
            </w:r>
          </w:p>
        </w:tc>
      </w:tr>
    </w:tbl>
    <w:p>
      <w:pPr>
        <w:spacing w:after="80" w:before="80"/>
      </w:pPr>
    </w:p>
    <w:p>
      <w:pPr>
        <w:pStyle w:val="Heading2"/>
        <w:spacing w:after="100" w:before="280"/>
      </w:pPr>
      <w:r>
        <w:rPr>
          <w:rFonts w:ascii="Arial" w:cs="Arial" w:eastAsia="Arial" w:hAnsi="Arial"/>
          <w:b/>
          <w:bCs/>
          <w:color w:val="1A3A5C"/>
          <w:sz w:val="26"/>
          <w:szCs w:val="26"/>
        </w:rPr>
        <w:t xml:space="preserve">5.1  Alignment with the CCB</w:t>
      </w:r>
    </w:p>
    <w:p>
      <w:pPr>
        <w:spacing w:after="100" w:before="60"/>
      </w:pPr>
      <w:r>
        <w:rPr>
          <w:rFonts w:ascii="Arial" w:cs="Arial" w:eastAsia="Arial" w:hAnsi="Arial"/>
          <w:color w:val="0F1F2E"/>
          <w:sz w:val="22"/>
          <w:szCs w:val="22"/>
        </w:rPr>
        <w:t xml:space="preserve">On-chain interest is an informational mirror of the CCB interest — the legal instrument is the CCB, not the TRDC. In case of divergence (e.g., on-chain calculation error), the CCB prevails. The accrual cron must be audited to ensure parity.</w:t>
      </w:r>
    </w:p>
    <w:p>
      <w:pPr>
        <w:spacing w:after="80" w:before="80"/>
      </w:pPr>
    </w:p>
    <w:p>
      <w:pPr>
        <w:pStyle w:val="Heading2"/>
        <w:spacing w:after="100" w:before="280"/>
      </w:pPr>
      <w:r>
        <w:rPr>
          <w:rFonts w:ascii="Arial" w:cs="Arial" w:eastAsia="Arial" w:hAnsi="Arial"/>
          <w:b/>
          <w:bCs/>
          <w:color w:val="1A3A5C"/>
          <w:sz w:val="26"/>
          <w:szCs w:val="26"/>
        </w:rPr>
        <w:t xml:space="preserve">5.2  calculate_interest</w:t>
      </w:r>
    </w:p>
    <w:p>
      <w:pPr>
        <w:shd w:fill="F0F0F0" w:val="clear"/>
        <w:spacing w:after="40" w:before="40"/>
        <w:ind w:left="360"/>
      </w:pPr>
      <w:r>
        <w:rPr>
          <w:rFonts w:ascii="Courier New" w:cs="Courier New" w:eastAsia="Courier New" w:hAnsi="Courier New"/>
          <w:color w:val="0F1F2E"/>
          <w:sz w:val="18"/>
          <w:szCs w:val="18"/>
        </w:rPr>
        <w:t xml:space="preserve">pub fn calculate_interest(</w:t>
      </w:r>
    </w:p>
    <w:p>
      <w:pPr>
        <w:shd w:fill="F0F0F0" w:val="clear"/>
        <w:spacing w:after="40" w:before="40"/>
        <w:ind w:left="360"/>
      </w:pPr>
      <w:r>
        <w:rPr>
          <w:rFonts w:ascii="Courier New" w:cs="Courier New" w:eastAsia="Courier New" w:hAnsi="Courier New"/>
          <w:color w:val="0F1F2E"/>
          <w:sz w:val="18"/>
          <w:szCs w:val="18"/>
        </w:rPr>
        <w:t xml:space="preserve">    principal: u64,</w:t>
      </w:r>
    </w:p>
    <w:p>
      <w:pPr>
        <w:shd w:fill="F0F0F0" w:val="clear"/>
        <w:spacing w:after="40" w:before="40"/>
        <w:ind w:left="360"/>
      </w:pPr>
      <w:r>
        <w:rPr>
          <w:rFonts w:ascii="Courier New" w:cs="Courier New" w:eastAsia="Courier New" w:hAnsi="Courier New"/>
          <w:color w:val="0F1F2E"/>
          <w:sz w:val="18"/>
          <w:szCs w:val="18"/>
        </w:rPr>
        <w:t xml:space="preserve">    rate_bps: u32,</w:t>
      </w:r>
    </w:p>
    <w:p>
      <w:pPr>
        <w:shd w:fill="F0F0F0" w:val="clear"/>
        <w:spacing w:after="40" w:before="40"/>
        <w:ind w:left="360"/>
      </w:pPr>
      <w:r>
        <w:rPr>
          <w:rFonts w:ascii="Courier New" w:cs="Courier New" w:eastAsia="Courier New" w:hAnsi="Courier New"/>
          <w:color w:val="0F1F2E"/>
          <w:sz w:val="18"/>
          <w:szCs w:val="18"/>
        </w:rPr>
        <w:t xml:space="preserve">    elapsed_seconds: i64,</w:t>
      </w:r>
    </w:p>
    <w:p>
      <w:pPr>
        <w:shd w:fill="F0F0F0" w:val="clear"/>
        <w:spacing w:after="40" w:before="40"/>
        <w:ind w:left="360"/>
      </w:pPr>
      <w:r>
        <w:rPr>
          <w:rFonts w:ascii="Courier New" w:cs="Courier New" w:eastAsia="Courier New" w:hAnsi="Courier New"/>
          <w:color w:val="0F1F2E"/>
          <w:sz w:val="18"/>
          <w:szCs w:val="18"/>
        </w:rPr>
        <w:t xml:space="preserve">) -&gt; Result&lt;u64&gt; {</w:t>
      </w:r>
    </w:p>
    <w:p>
      <w:pPr>
        <w:shd w:fill="F0F0F0" w:val="clear"/>
        <w:spacing w:after="40" w:before="40"/>
        <w:ind w:left="360"/>
      </w:pPr>
      <w:r>
        <w:rPr>
          <w:rFonts w:ascii="Courier New" w:cs="Courier New" w:eastAsia="Courier New" w:hAnsi="Courier New"/>
          <w:color w:val="0F1F2E"/>
          <w:sz w:val="18"/>
          <w:szCs w:val="18"/>
        </w:rPr>
        <w:t xml:space="preserve">    if elapsed_seconds &lt;= 0 { return Ok(0); }  // Guard — sem .abs()</w:t>
      </w:r>
    </w:p>
    <w:p>
      <w:pPr>
        <w:shd w:fill="F0F0F0" w:val="clear"/>
        <w:spacing w:after="40" w:before="40"/>
        <w:ind w:left="360"/>
      </w:pPr>
      <w:r>
        <w:rPr>
          <w:rFonts w:ascii="Courier New" w:cs="Courier New" w:eastAsia="Courier New" w:hAnsi="Courier New"/>
          <w:color w:val="0F1F2E"/>
          <w:sz w:val="18"/>
          <w:szCs w:val="18"/>
        </w:rPr>
        <w:t xml:space="preserve">    let interest = (principal as u128)</w:t>
      </w:r>
    </w:p>
    <w:p>
      <w:pPr>
        <w:shd w:fill="F0F0F0" w:val="clear"/>
        <w:spacing w:after="40" w:before="40"/>
        <w:ind w:left="360"/>
      </w:pPr>
      <w:r>
        <w:rPr>
          <w:rFonts w:ascii="Courier New" w:cs="Courier New" w:eastAsia="Courier New" w:hAnsi="Courier New"/>
          <w:color w:val="0F1F2E"/>
          <w:sz w:val="18"/>
          <w:szCs w:val="18"/>
        </w:rPr>
        <w:t xml:space="preserve">        .checked_mul(rate_bps as u128).ok_or(GarantiFiError::MathOverflow)?</w:t>
      </w:r>
    </w:p>
    <w:p>
      <w:pPr>
        <w:shd w:fill="F0F0F0" w:val="clear"/>
        <w:spacing w:after="40" w:before="40"/>
        <w:ind w:left="360"/>
      </w:pPr>
      <w:r>
        <w:rPr>
          <w:rFonts w:ascii="Courier New" w:cs="Courier New" w:eastAsia="Courier New" w:hAnsi="Courier New"/>
          <w:color w:val="0F1F2E"/>
          <w:sz w:val="18"/>
          <w:szCs w:val="18"/>
        </w:rPr>
        <w:t xml:space="preserve">        .checked_mul(elapsed_seconds as u128).ok_or(GarantiFiError::MathOverflow)?</w:t>
      </w:r>
    </w:p>
    <w:p>
      <w:pPr>
        <w:shd w:fill="F0F0F0" w:val="clear"/>
        <w:spacing w:after="40" w:before="40"/>
        <w:ind w:left="360"/>
      </w:pPr>
      <w:r>
        <w:rPr>
          <w:rFonts w:ascii="Courier New" w:cs="Courier New" w:eastAsia="Courier New" w:hAnsi="Courier New"/>
          <w:color w:val="0F1F2E"/>
          <w:sz w:val="18"/>
          <w:szCs w:val="18"/>
        </w:rPr>
        <w:t xml:space="preserve">        .checked_div(10_000 * 365 * 24 * 3600).ok_or(GarantiFiError::MathOverflow)?;</w:t>
      </w:r>
    </w:p>
    <w:p>
      <w:pPr>
        <w:shd w:fill="F0F0F0" w:val="clear"/>
        <w:spacing w:after="40" w:before="40"/>
        <w:ind w:left="360"/>
      </w:pPr>
      <w:r>
        <w:rPr>
          <w:rFonts w:ascii="Courier New" w:cs="Courier New" w:eastAsia="Courier New" w:hAnsi="Courier New"/>
          <w:color w:val="0F1F2E"/>
          <w:sz w:val="18"/>
          <w:szCs w:val="18"/>
        </w:rPr>
        <w:t xml:space="preserve">    Ok(interest as u64)</w:t>
      </w:r>
    </w:p>
    <w:p>
      <w:pPr>
        <w:shd w:fill="F0F0F0" w:val="clear"/>
        <w:spacing w:after="40" w:before="40"/>
        <w:ind w:left="360"/>
      </w:pPr>
      <w:r>
        <w:rPr>
          <w:rFonts w:ascii="Courier New" w:cs="Courier New" w:eastAsia="Courier New" w:hAnsi="Courier New"/>
          <w:color w:val="0F1F2E"/>
          <w:sz w:val="18"/>
          <w:szCs w:val="18"/>
        </w:rPr>
        <w:t xml:space="preserve">}  // Retorna Result&lt;u64&gt; — nunca .unwrap()</w:t>
      </w:r>
    </w:p>
    <w:p>
      <w:pPr>
        <w:spacing w:after="80" w:before="80"/>
      </w:pPr>
    </w:p>
    <w:p>
      <w:pPr>
        <w:pStyle w:val="Heading2"/>
        <w:spacing w:after="100" w:before="280"/>
      </w:pPr>
      <w:r>
        <w:rPr>
          <w:rFonts w:ascii="Arial" w:cs="Arial" w:eastAsia="Arial" w:hAnsi="Arial"/>
          <w:b/>
          <w:bCs/>
          <w:color w:val="1A3A5C"/>
          <w:sz w:val="26"/>
          <w:szCs w:val="26"/>
        </w:rPr>
        <w:t xml:space="preserve">5.3  calculate_late_fee — Pro-Rated by Second</w:t>
      </w:r>
    </w:p>
    <w:p>
      <w:pPr>
        <w:spacing w:after="100" w:before="60"/>
      </w:pPr>
      <w:r>
        <w:rPr>
          <w:rFonts w:ascii="Arial" w:cs="Arial" w:eastAsia="Arial" w:hAnsi="Arial"/>
          <w:color w:val="0F1F2E"/>
          <w:sz w:val="22"/>
          <w:szCs w:val="22"/>
        </w:rPr>
        <w:t xml:space="preserve">Pro-rated division by seconds (not full months). Eliminates the 29-day free window.</w:t>
      </w:r>
    </w:p>
    <w:p>
      <w:pPr>
        <w:shd w:fill="F0F0F0" w:val="clear"/>
        <w:spacing w:after="40" w:before="40"/>
        <w:ind w:left="360"/>
      </w:pPr>
      <w:r>
        <w:rPr>
          <w:rFonts w:ascii="Courier New" w:cs="Courier New" w:eastAsia="Courier New" w:hAnsi="Courier New"/>
          <w:color w:val="0F1F2E"/>
          <w:sz w:val="18"/>
          <w:szCs w:val="18"/>
        </w:rPr>
        <w:t xml:space="preserve">let late_seconds = clock.unix_timestamp - trdc.due_ts;</w:t>
      </w:r>
    </w:p>
    <w:p>
      <w:pPr>
        <w:shd w:fill="F0F0F0" w:val="clear"/>
        <w:spacing w:after="40" w:before="40"/>
        <w:ind w:left="360"/>
      </w:pPr>
      <w:r>
        <w:rPr>
          <w:rFonts w:ascii="Courier New" w:cs="Courier New" w:eastAsia="Courier New" w:hAnsi="Courier New"/>
          <w:color w:val="0F1F2E"/>
          <w:sz w:val="18"/>
          <w:szCs w:val="18"/>
        </w:rPr>
        <w:t xml:space="preserve">// fee = principal * late_rate_bps * late_seconds / (10000 * 365 * 86400)</w:t>
      </w:r>
    </w:p>
    <w:p>
      <w:pPr>
        <w:spacing w:after="80" w:before="80"/>
      </w:pPr>
    </w:p>
    <w:p>
      <w:pPr>
        <w:pStyle w:val="Heading2"/>
        <w:spacing w:after="100" w:before="280"/>
      </w:pPr>
      <w:r>
        <w:rPr>
          <w:rFonts w:ascii="Arial" w:cs="Arial" w:eastAsia="Arial" w:hAnsi="Arial"/>
          <w:b/>
          <w:bCs/>
          <w:color w:val="1A3A5C"/>
          <w:sz w:val="26"/>
          <w:szCs w:val="26"/>
        </w:rPr>
        <w:t xml:space="preserve">5.4  accrue — Error Propagation</w:t>
      </w:r>
    </w:p>
    <w:p>
      <w:pPr>
        <w:spacing w:after="100" w:before="60"/>
      </w:pPr>
      <w:r>
        <w:rPr>
          <w:rFonts w:ascii="Arial" w:cs="Arial" w:eastAsia="Arial" w:hAnsi="Arial"/>
          <w:color w:val="0F1F2E"/>
          <w:sz w:val="22"/>
          <w:szCs w:val="22"/>
        </w:rPr>
        <w:t xml:space="preserve">Propagates error with ? instead of .unwrap(). Stores result in trdc.accrued_interest.</w:t>
      </w:r>
    </w:p>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0E7C7B"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06</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0E7C7B"/>
                <w:sz w:val="28"/>
                <w:szCs w:val="28"/>
              </w:rPr>
              <w:t xml:space="preserve">Physical Asset Custody</w:t>
            </w:r>
          </w:p>
          <w:p>
            <w:pPr>
              <w:spacing w:after="0" w:before="0"/>
            </w:pPr>
            <w:r>
              <w:rPr>
                <w:rFonts w:ascii="Arial" w:cs="Arial" w:eastAsia="Arial" w:hAnsi="Arial"/>
                <w:color w:val="5A6B7A"/>
                <w:sz w:val="18"/>
                <w:szCs w:val="18"/>
              </w:rPr>
              <w:t xml:space="preserve">SCD fiduciary custodian — new V3 framework</w:t>
            </w:r>
          </w:p>
        </w:tc>
      </w:tr>
    </w:tbl>
    <w:p>
      <w:pPr>
        <w:spacing w:after="80" w:before="80"/>
      </w:pPr>
    </w:p>
    <w:p>
      <w:pPr>
        <w:pBdr>
          <w:left w:val="single" w:color="5B2C8D" w:sz="16" w:space="8"/>
        </w:pBdr>
        <w:shd w:fill="F0EBF8" w:val="clear"/>
        <w:spacing w:after="80" w:before="80"/>
        <w:ind w:left="360" w:right="360"/>
      </w:pPr>
      <w:r>
        <w:rPr>
          <w:rFonts w:ascii="Arial" w:cs="Arial" w:eastAsia="Arial" w:hAnsi="Arial"/>
          <w:b/>
          <w:bCs/>
          <w:color w:val="3A1A6B"/>
          <w:sz w:val="20"/>
          <w:szCs w:val="20"/>
        </w:rPr>
        <w:t xml:space="preserve">⚖ In V3, the custodian is contracted by the SCD as a fiduciary custodian (Civil Code arts. 627–646). It is no longer the 'protocol custodian' — it is the guardian of the asset that is the SCD's defeasible property (fiduciary creditor). This distinction is important for extrajudicial enforcement in the event of default.</w:t>
      </w:r>
    </w:p>
    <w:p>
      <w:pPr>
        <w:spacing w:after="80" w:before="80"/>
      </w:pPr>
    </w:p>
    <w:p>
      <w:pPr>
        <w:pStyle w:val="Heading2"/>
        <w:spacing w:after="100" w:before="280"/>
      </w:pPr>
      <w:r>
        <w:rPr>
          <w:rFonts w:ascii="Arial" w:cs="Arial" w:eastAsia="Arial" w:hAnsi="Arial"/>
          <w:b/>
          <w:bCs/>
          <w:color w:val="1A3A5C"/>
          <w:sz w:val="26"/>
          <w:szCs w:val="26"/>
        </w:rPr>
        <w:t xml:space="preserve">6.1  V3 Custody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426"/>
      </w:tblGrid>
      <w:tr>
        <w:trPr>
          <w:tblHeader/>
        </w:trPr>
        <w:tc>
          <w:tcPr>
            <w:tcW w:type="dxa" w:w="6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3426"/>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Registro on-chain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Borrower delivers asset to the custodian (in person, Phase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Custodian records receipt + integrity report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Custodiante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Report hash → TRDC metadata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GarantiFi confirma on-chain: confirm_custody()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TRDC: PENDING_CUSTODY → ACTIVE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Vault desembolsa via disburse_ccb (CPI)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Vault Program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TotalDisbursed++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5a (settlement)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Tomador paga SCD; SCD libera AF; custodiante notificado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SCD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TRDC: → REPAID, burned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5b (default)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SCD initiates extrajudicial repossession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SCD + custodiante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TRDC: → DEFAULTED</w:t>
            </w:r>
          </w:p>
        </w:tc>
      </w:tr>
    </w:tbl>
    <w:p>
      <w:pPr>
        <w:spacing w:after="80" w:before="80"/>
      </w:pPr>
    </w:p>
    <w:p>
      <w:pPr>
        <w:pStyle w:val="Heading2"/>
        <w:spacing w:after="100" w:before="280"/>
      </w:pPr>
      <w:r>
        <w:rPr>
          <w:rFonts w:ascii="Arial" w:cs="Arial" w:eastAsia="Arial" w:hAnsi="Arial"/>
          <w:b/>
          <w:bCs/>
          <w:color w:val="1A3A5C"/>
          <w:sz w:val="26"/>
          <w:szCs w:val="26"/>
        </w:rPr>
        <w:t xml:space="preserve">6.2  Custody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Asset category</w:t>
            </w:r>
          </w:p>
        </w:tc>
        <w:tc>
          <w:tcPr>
            <w:tcW w:type="dxa" w:w="25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Custody requirement</w:t>
            </w:r>
          </w:p>
        </w:tc>
        <w:tc>
          <w:tcPr>
            <w:tcW w:type="dxa" w:w="25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Reference partners</w:t>
            </w:r>
          </w:p>
        </w:tc>
        <w:tc>
          <w:tcPr>
            <w:tcW w:type="dxa" w:w="2026"/>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Watches / Jewelry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Specialized vault, mandatory insurance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SP bank vault, Brinks Smart Vault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MVP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Art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Climate-controlled chamber (temperature/humidity/UV controlled)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Museu parceiro, Art Storage SP</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Phase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Vehicles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Garagem segura + seguro compreensivo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Detran (vistoria) + garagem parceira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Phase 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Digital NFTs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On-chain contract PDA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Solana Vault Program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Phase 2</w:t>
            </w:r>
          </w:p>
        </w:tc>
      </w:tr>
    </w:tbl>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07</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1A3A5C"/>
                <w:sz w:val="28"/>
                <w:szCs w:val="28"/>
              </w:rPr>
              <w:t xml:space="preserve">Security</w:t>
            </w:r>
          </w:p>
          <w:p>
            <w:pPr>
              <w:spacing w:after="0" w:before="0"/>
            </w:pPr>
            <w:r>
              <w:rPr>
                <w:rFonts w:ascii="Arial" w:cs="Arial" w:eastAsia="Arial" w:hAnsi="Arial"/>
                <w:color w:val="5A6B7A"/>
                <w:sz w:val="18"/>
                <w:szCs w:val="18"/>
              </w:rPr>
              <w:t xml:space="preserve">Multisig, authority and V3 protections</w:t>
            </w:r>
          </w:p>
        </w:tc>
      </w:tr>
    </w:tbl>
    <w:p>
      <w:pPr>
        <w:spacing w:after="80" w:before="80"/>
      </w:pPr>
    </w:p>
    <w:p>
      <w:pPr>
        <w:pStyle w:val="Heading2"/>
        <w:spacing w:after="100" w:before="280"/>
      </w:pPr>
      <w:r>
        <w:rPr>
          <w:rFonts w:ascii="Arial" w:cs="Arial" w:eastAsia="Arial" w:hAnsi="Arial"/>
          <w:b/>
          <w:bCs/>
          <w:color w:val="1A3A5C"/>
          <w:sz w:val="26"/>
          <w:szCs w:val="26"/>
        </w:rPr>
        <w:t xml:space="preserve">7.1  Authority — Three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000"/>
        <w:gridCol w:w="2826"/>
      </w:tblGrid>
      <w:tr>
        <w:trPr>
          <w:tblHeader/>
        </w:trPr>
        <w:tc>
          <w:tcPr>
            <w:tcW w:type="dxa" w:w="10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Detentor</w:t>
            </w:r>
          </w:p>
        </w:tc>
        <w:tc>
          <w:tcPr>
            <w:tcW w:type="dxa" w:w="30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2826"/>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L1 — Admin GarantiFi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Multisig 2/3 GarantiFi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confirm_custody, update_trdc_status, pause_vault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Squads Protocol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L2 — SCD Authority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Multisig 2/3 SCD parceira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deposit_capital, withdraw_capital, execute_af_default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Squads Protocol (SCD)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L3 — Operacional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Hot wallet GarantiFi (bot)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mark_overdue (cron), KYC status updates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Wallet isolada — sem acesso ao vault</w:t>
            </w:r>
          </w:p>
        </w:tc>
      </w:tr>
    </w:tbl>
    <w:p>
      <w:pPr>
        <w:spacing w:after="80" w:before="80"/>
      </w:pPr>
    </w:p>
    <w:p>
      <w:pPr>
        <w:pStyle w:val="Heading2"/>
        <w:spacing w:after="100" w:before="280"/>
      </w:pPr>
      <w:r>
        <w:rPr>
          <w:rFonts w:ascii="Arial" w:cs="Arial" w:eastAsia="Arial" w:hAnsi="Arial"/>
          <w:b/>
          <w:bCs/>
          <w:color w:val="1A3A5C"/>
          <w:sz w:val="26"/>
          <w:szCs w:val="26"/>
        </w:rPr>
        <w:t xml:space="preserve">7.2  Timelock</w:t>
      </w:r>
    </w:p>
    <w:p>
      <w:pPr>
        <w:pStyle w:val="ListParagraph"/>
        <w:numPr>
          <w:ilvl w:val="0"/>
          <w:numId w:val="2"/>
        </w:numPr>
        <w:spacing w:after="40" w:before="40"/>
      </w:pPr>
      <w:r>
        <w:rPr>
          <w:rFonts w:ascii="Arial" w:cs="Arial" w:eastAsia="Arial" w:hAnsi="Arial"/>
          <w:color w:val="0F1F2E"/>
          <w:sz w:val="22"/>
          <w:szCs w:val="22"/>
        </w:rPr>
        <w:t xml:space="preserve">Changes to critical parameters (min_ccb_amount, scd_authority): 48h timelock</w:t>
      </w:r>
    </w:p>
    <w:p>
      <w:pPr>
        <w:pStyle w:val="ListParagraph"/>
        <w:numPr>
          <w:ilvl w:val="0"/>
          <w:numId w:val="2"/>
        </w:numPr>
        <w:spacing w:after="40" w:before="40"/>
      </w:pPr>
      <w:r>
        <w:rPr>
          <w:rFonts w:ascii="Arial" w:cs="Arial" w:eastAsia="Arial" w:hAnsi="Arial"/>
          <w:color w:val="0F1F2E"/>
          <w:sz w:val="22"/>
          <w:szCs w:val="22"/>
        </w:rPr>
        <w:t xml:space="preserve">Vault pause: immediate (emergency)</w:t>
      </w:r>
    </w:p>
    <w:p>
      <w:pPr>
        <w:pStyle w:val="ListParagraph"/>
        <w:numPr>
          <w:ilvl w:val="0"/>
          <w:numId w:val="2"/>
        </w:numPr>
        <w:spacing w:after="40" w:before="40"/>
      </w:pPr>
      <w:r>
        <w:rPr>
          <w:rFonts w:ascii="Arial" w:cs="Arial" w:eastAsia="Arial" w:hAnsi="Arial"/>
          <w:color w:val="0F1F2E"/>
          <w:sz w:val="22"/>
          <w:szCs w:val="22"/>
        </w:rPr>
        <w:t xml:space="preserve">Capital withdrawal by the SCD: 24h timelock for amounts &gt;10% of TVL</w:t>
      </w:r>
    </w:p>
    <w:p>
      <w:pPr>
        <w:spacing w:after="80" w:before="80"/>
      </w:pPr>
    </w:p>
    <w:p>
      <w:pPr>
        <w:pStyle w:val="Heading2"/>
        <w:spacing w:after="100" w:before="280"/>
      </w:pPr>
      <w:r>
        <w:rPr>
          <w:rFonts w:ascii="Arial" w:cs="Arial" w:eastAsia="Arial" w:hAnsi="Arial"/>
          <w:b/>
          <w:bCs/>
          <w:color w:val="1A3A5C"/>
          <w:sz w:val="26"/>
          <w:szCs w:val="26"/>
        </w:rPr>
        <w:t xml:space="preserve">7.3  Additional Protections</w:t>
      </w:r>
    </w:p>
    <w:p>
      <w:pPr>
        <w:pStyle w:val="ListParagraph"/>
        <w:numPr>
          <w:ilvl w:val="0"/>
          <w:numId w:val="2"/>
        </w:numPr>
        <w:spacing w:after="40" w:before="40"/>
      </w:pPr>
      <w:r>
        <w:rPr>
          <w:rFonts w:ascii="Arial" w:cs="Arial" w:eastAsia="Arial" w:hAnsi="Arial"/>
          <w:color w:val="0F1F2E"/>
          <w:sz w:val="22"/>
          <w:szCs w:val="22"/>
        </w:rPr>
        <w:t xml:space="preserve">CPI caller validation in disburse_ccb and receive_repayment — see Section 01.5</w:t>
      </w:r>
    </w:p>
    <w:p>
      <w:pPr>
        <w:pStyle w:val="ListParagraph"/>
        <w:numPr>
          <w:ilvl w:val="0"/>
          <w:numId w:val="2"/>
        </w:numPr>
        <w:spacing w:after="40" w:before="40"/>
      </w:pPr>
      <w:r>
        <w:rPr>
          <w:rFonts w:ascii="Arial" w:cs="Arial" w:eastAsia="Arial" w:hAnsi="Arial"/>
          <w:color w:val="0F1F2E"/>
          <w:sz w:val="22"/>
          <w:szCs w:val="22"/>
        </w:rPr>
        <w:t xml:space="preserve">Reentrancy: use mutex pattern (is_in_progress flag) in disbursement operations</w:t>
      </w:r>
    </w:p>
    <w:p>
      <w:pPr>
        <w:pStyle w:val="ListParagraph"/>
        <w:numPr>
          <w:ilvl w:val="0"/>
          <w:numId w:val="2"/>
        </w:numPr>
        <w:spacing w:after="40" w:before="40"/>
      </w:pPr>
      <w:r>
        <w:rPr>
          <w:rFonts w:ascii="Arial" w:cs="Arial" w:eastAsia="Arial" w:hAnsi="Arial"/>
          <w:color w:val="0F1F2E"/>
          <w:sz w:val="22"/>
          <w:szCs w:val="22"/>
        </w:rPr>
        <w:t xml:space="preserve">Integer overflow: checked_add / checked_sub in all accounting calculations</w:t>
      </w:r>
    </w:p>
    <w:p>
      <w:pPr>
        <w:pStyle w:val="ListParagraph"/>
        <w:numPr>
          <w:ilvl w:val="0"/>
          <w:numId w:val="2"/>
        </w:numPr>
        <w:spacing w:after="40" w:before="40"/>
      </w:pPr>
      <w:r>
        <w:rPr>
          <w:rFonts w:ascii="Arial" w:cs="Arial" w:eastAsia="Arial" w:hAnsi="Arial"/>
          <w:color w:val="0F1F2E"/>
          <w:sz w:val="22"/>
          <w:szCs w:val="22"/>
        </w:rPr>
        <w:t xml:space="preserve">Slippage guard in token conversions (if applicable)</w:t>
      </w:r>
    </w:p>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08</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1A3A5C"/>
                <w:sz w:val="28"/>
                <w:szCs w:val="28"/>
              </w:rPr>
              <w:t xml:space="preserve">Backend Off-chain</w:t>
            </w:r>
          </w:p>
          <w:p>
            <w:pPr>
              <w:spacing w:after="0" w:before="0"/>
            </w:pPr>
            <w:r>
              <w:rPr>
                <w:rFonts w:ascii="Arial" w:cs="Arial" w:eastAsia="Arial" w:hAnsi="Arial"/>
                <w:color w:val="5A6B7A"/>
                <w:sz w:val="18"/>
                <w:szCs w:val="18"/>
              </w:rPr>
              <w:t xml:space="preserve">Integration with SCD, KYC, WebSocket and cron</w:t>
            </w:r>
          </w:p>
        </w:tc>
      </w:tr>
    </w:tbl>
    <w:p>
      <w:pPr>
        <w:spacing w:after="80" w:before="80"/>
      </w:pPr>
    </w:p>
    <w:p>
      <w:pPr>
        <w:pStyle w:val="Heading2"/>
        <w:spacing w:after="100" w:before="280"/>
      </w:pPr>
      <w:r>
        <w:rPr>
          <w:rFonts w:ascii="Arial" w:cs="Arial" w:eastAsia="Arial" w:hAnsi="Arial"/>
          <w:b/>
          <w:bCs/>
          <w:color w:val="1A3A5C"/>
          <w:sz w:val="26"/>
          <w:szCs w:val="26"/>
        </w:rPr>
        <w:t xml:space="preserve">8.1  New V3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ccb-service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Integration with SCD system: create CCB, transmit signatures, receive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FastAPI + PostgreSQL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kyc-service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KYC/PLD-FT onboarding: bureau API, document validation, transmission to SCD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FastAPI + Redis (rate limit)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trdc-minter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Mint TRDC on-chain after CCB signed + ccb_hash calculated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Node.js + @solana/web3.js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custody-oracle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Receives webhook from custodian confirming physical receipt; calls confirm_custody on-chain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FastAPI + Celery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event-monitor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Solana WebSocket with exponential reconnect + catchup via getSignaturesForAddress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Node.js/TypeScript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overdue-cron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Cron hourly: marca TRDCs vencidos on-chain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Celery Beat</w:t>
            </w:r>
          </w:p>
        </w:tc>
      </w:tr>
    </w:tbl>
    <w:p>
      <w:pPr>
        <w:spacing w:after="80" w:before="80"/>
      </w:pPr>
    </w:p>
    <w:p>
      <w:pPr>
        <w:pStyle w:val="Heading2"/>
        <w:spacing w:after="100" w:before="280"/>
      </w:pPr>
      <w:r>
        <w:rPr>
          <w:rFonts w:ascii="Arial" w:cs="Arial" w:eastAsia="Arial" w:hAnsi="Arial"/>
          <w:b/>
          <w:bCs/>
          <w:color w:val="1A3A5C"/>
          <w:sz w:val="26"/>
          <w:szCs w:val="26"/>
        </w:rPr>
        <w:t xml:space="preserve">8.2  WebSocket with Reconnect — CRITICAL (carried over from V2.x)</w:t>
      </w:r>
    </w:p>
    <w:p>
      <w:pPr>
        <w:shd w:fill="F0F0F0" w:val="clear"/>
        <w:spacing w:after="40" w:before="40"/>
        <w:ind w:left="360"/>
      </w:pPr>
      <w:r>
        <w:rPr>
          <w:rFonts w:ascii="Courier New" w:cs="Courier New" w:eastAsia="Courier New" w:hAnsi="Courier New"/>
          <w:color w:val="0F1F2E"/>
          <w:sz w:val="18"/>
          <w:szCs w:val="18"/>
        </w:rPr>
        <w:t xml:space="preserve">async function connectWithRetry(delay = 1000) {</w:t>
      </w:r>
    </w:p>
    <w:p>
      <w:pPr>
        <w:shd w:fill="F0F0F0" w:val="clear"/>
        <w:spacing w:after="40" w:before="40"/>
        <w:ind w:left="360"/>
      </w:pPr>
      <w:r>
        <w:rPr>
          <w:rFonts w:ascii="Courier New" w:cs="Courier New" w:eastAsia="Courier New" w:hAnsi="Courier New"/>
          <w:color w:val="0F1F2E"/>
          <w:sz w:val="18"/>
          <w:szCs w:val="18"/>
        </w:rPr>
        <w:t xml:space="preserve">  try {</w:t>
      </w:r>
    </w:p>
    <w:p>
      <w:pPr>
        <w:shd w:fill="F0F0F0" w:val="clear"/>
        <w:spacing w:after="40" w:before="40"/>
        <w:ind w:left="360"/>
      </w:pPr>
      <w:r>
        <w:rPr>
          <w:rFonts w:ascii="Courier New" w:cs="Courier New" w:eastAsia="Courier New" w:hAnsi="Courier New"/>
          <w:color w:val="0F1F2E"/>
          <w:sz w:val="18"/>
          <w:szCs w:val="18"/>
        </w:rPr>
        <w:t xml:space="preserve">    ws = new WebSocket(WS_URL);</w:t>
      </w:r>
    </w:p>
    <w:p>
      <w:pPr>
        <w:shd w:fill="F0F0F0" w:val="clear"/>
        <w:spacing w:after="40" w:before="40"/>
        <w:ind w:left="360"/>
      </w:pPr>
      <w:r>
        <w:rPr>
          <w:rFonts w:ascii="Courier New" w:cs="Courier New" w:eastAsia="Courier New" w:hAnsi="Courier New"/>
          <w:color w:val="0F1F2E"/>
          <w:sz w:val="18"/>
          <w:szCs w:val="18"/>
        </w:rPr>
        <w:t xml:space="preserve">    ws.on('open', async () =&gt; {</w:t>
      </w:r>
    </w:p>
    <w:p>
      <w:pPr>
        <w:shd w:fill="F0F0F0" w:val="clear"/>
        <w:spacing w:after="40" w:before="40"/>
        <w:ind w:left="360"/>
      </w:pPr>
      <w:r>
        <w:rPr>
          <w:rFonts w:ascii="Courier New" w:cs="Courier New" w:eastAsia="Courier New" w:hAnsi="Courier New"/>
          <w:color w:val="0F1F2E"/>
          <w:sz w:val="18"/>
          <w:szCs w:val="18"/>
        </w:rPr>
        <w:t xml:space="preserve">      const lastSlot = await db.getLastProcessedSlot();</w:t>
      </w:r>
    </w:p>
    <w:p>
      <w:pPr>
        <w:shd w:fill="F0F0F0" w:val="clear"/>
        <w:spacing w:after="40" w:before="40"/>
        <w:ind w:left="360"/>
      </w:pPr>
      <w:r>
        <w:rPr>
          <w:rFonts w:ascii="Courier New" w:cs="Courier New" w:eastAsia="Courier New" w:hAnsi="Courier New"/>
          <w:color w:val="0F1F2E"/>
          <w:sz w:val="18"/>
          <w:szCs w:val="18"/>
        </w:rPr>
        <w:t xml:space="preserve">      await catchupMissedEvents(lastSlot); // via getSignaturesForAddress</w:t>
      </w:r>
    </w:p>
    <w:p>
      <w:pPr>
        <w:shd w:fill="F0F0F0" w:val="clear"/>
        <w:spacing w:after="40" w:before="40"/>
        <w:ind w:left="360"/>
      </w:pPr>
      <w:r>
        <w:rPr>
          <w:rFonts w:ascii="Courier New" w:cs="Courier New" w:eastAsia="Courier New" w:hAnsi="Courier New"/>
          <w:color w:val="0F1F2E"/>
          <w:sz w:val="18"/>
          <w:szCs w:val="18"/>
        </w:rPr>
        <w:t xml:space="preserve">    });</w:t>
      </w:r>
    </w:p>
    <w:p>
      <w:pPr>
        <w:shd w:fill="F0F0F0" w:val="clear"/>
        <w:spacing w:after="40" w:before="40"/>
        <w:ind w:left="360"/>
      </w:pPr>
      <w:r>
        <w:rPr>
          <w:rFonts w:ascii="Courier New" w:cs="Courier New" w:eastAsia="Courier New" w:hAnsi="Courier New"/>
          <w:color w:val="0F1F2E"/>
          <w:sz w:val="18"/>
          <w:szCs w:val="18"/>
        </w:rPr>
        <w:t xml:space="preserve">    ws.on('close', () =&gt; {</w:t>
      </w:r>
    </w:p>
    <w:p>
      <w:pPr>
        <w:shd w:fill="F0F0F0" w:val="clear"/>
        <w:spacing w:after="40" w:before="40"/>
        <w:ind w:left="360"/>
      </w:pPr>
      <w:r>
        <w:rPr>
          <w:rFonts w:ascii="Courier New" w:cs="Courier New" w:eastAsia="Courier New" w:hAnsi="Courier New"/>
          <w:color w:val="0F1F2E"/>
          <w:sz w:val="18"/>
          <w:szCs w:val="18"/>
        </w:rPr>
        <w:t xml:space="preserve">      const next = Math.min(delay * 2, 30000);</w:t>
      </w:r>
    </w:p>
    <w:p>
      <w:pPr>
        <w:shd w:fill="F0F0F0" w:val="clear"/>
        <w:spacing w:after="40" w:before="40"/>
        <w:ind w:left="360"/>
      </w:pPr>
      <w:r>
        <w:rPr>
          <w:rFonts w:ascii="Courier New" w:cs="Courier New" w:eastAsia="Courier New" w:hAnsi="Courier New"/>
          <w:color w:val="0F1F2E"/>
          <w:sz w:val="18"/>
          <w:szCs w:val="18"/>
        </w:rPr>
        <w:t xml:space="preserve">      setTimeout(() =&gt; connectWithRetry(next), delay);</w:t>
      </w:r>
    </w:p>
    <w:p>
      <w:pPr>
        <w:shd w:fill="F0F0F0" w:val="clear"/>
        <w:spacing w:after="40" w:before="40"/>
        <w:ind w:left="360"/>
      </w:pPr>
      <w:r>
        <w:rPr>
          <w:rFonts w:ascii="Courier New" w:cs="Courier New" w:eastAsia="Courier New" w:hAnsi="Courier New"/>
          <w:color w:val="0F1F2E"/>
          <w:sz w:val="18"/>
          <w:szCs w:val="18"/>
        </w:rPr>
        <w:t xml:space="preserve">    });</w:t>
      </w:r>
    </w:p>
    <w:p>
      <w:pPr>
        <w:shd w:fill="F0F0F0" w:val="clear"/>
        <w:spacing w:after="40" w:before="40"/>
        <w:ind w:left="360"/>
      </w:pPr>
      <w:r>
        <w:rPr>
          <w:rFonts w:ascii="Courier New" w:cs="Courier New" w:eastAsia="Courier New" w:hAnsi="Courier New"/>
          <w:color w:val="0F1F2E"/>
          <w:sz w:val="18"/>
          <w:szCs w:val="18"/>
        </w:rPr>
        <w:t xml:space="preserve">  } catch (e) {</w:t>
      </w:r>
    </w:p>
    <w:p>
      <w:pPr>
        <w:shd w:fill="F0F0F0" w:val="clear"/>
        <w:spacing w:after="40" w:before="40"/>
        <w:ind w:left="360"/>
      </w:pPr>
      <w:r>
        <w:rPr>
          <w:rFonts w:ascii="Courier New" w:cs="Courier New" w:eastAsia="Courier New" w:hAnsi="Courier New"/>
          <w:color w:val="0F1F2E"/>
          <w:sz w:val="18"/>
          <w:szCs w:val="18"/>
        </w:rPr>
        <w:t xml:space="preserve">    setTimeout(() =&gt; connectWithRetry(Math.min(delay*2,30000)), delay);</w:t>
      </w:r>
    </w:p>
    <w:p>
      <w:pPr>
        <w:shd w:fill="F0F0F0" w:val="clear"/>
        <w:spacing w:after="40" w:before="40"/>
        <w:ind w:left="360"/>
      </w:pPr>
      <w:r>
        <w:rPr>
          <w:rFonts w:ascii="Courier New" w:cs="Courier New" w:eastAsia="Courier New" w:hAnsi="Courier New"/>
          <w:color w:val="0F1F2E"/>
          <w:sz w:val="18"/>
          <w:szCs w:val="18"/>
        </w:rPr>
        <w:t xml:space="preserve">  }</w:t>
      </w:r>
    </w:p>
    <w:p>
      <w:pPr>
        <w:shd w:fill="F0F0F0" w:val="clear"/>
        <w:spacing w:after="40" w:before="40"/>
        <w:ind w:left="360"/>
      </w:pPr>
      <w:r>
        <w:rPr>
          <w:rFonts w:ascii="Courier New" w:cs="Courier New" w:eastAsia="Courier New" w:hAnsi="Courier New"/>
          <w:color w:val="0F1F2E"/>
          <w:sz w:val="18"/>
          <w:szCs w:val="18"/>
        </w:rPr>
        <w:t xml:space="preserve">}</w:t>
      </w:r>
    </w:p>
    <w:p>
      <w:pPr>
        <w:spacing w:after="40" w:before="40"/>
      </w:pP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lastProcessedSlot persistido no PostgreSQL a cada evento. Catchup garante que nenhum evento de status de TRDC seja perdido em caso de queda do backend.</w:t>
      </w:r>
    </w:p>
    <w:p>
      <w:pPr>
        <w:spacing w:after="80" w:before="80"/>
      </w:pPr>
    </w:p>
    <w:p>
      <w:pPr>
        <w:pStyle w:val="Heading2"/>
        <w:spacing w:after="100" w:before="280"/>
      </w:pPr>
      <w:r>
        <w:rPr>
          <w:rFonts w:ascii="Arial" w:cs="Arial" w:eastAsia="Arial" w:hAnsi="Arial"/>
          <w:b/>
          <w:bCs/>
          <w:color w:val="1A3A5C"/>
          <w:sz w:val="26"/>
          <w:szCs w:val="26"/>
        </w:rPr>
        <w:t xml:space="preserve">8.3  Integração com a SCD — API Endpoints Necessários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 (SCD)</w:t>
            </w:r>
          </w:p>
        </w:tc>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0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POST /ccb/create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GarantiFi sends CCB data to the SCD for formal issuance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GET /ccb/{id}/status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GET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Queries CCB status at the SCD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POST /ccb/{id}/disburse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GarantiFi notifies SCD to release R$ via PIX to the borrower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POST /ccb/{id}/repayment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POST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GarantiFi notifies SCD of payment received on-chain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POST /ccb/{id}/default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GarantiFi notifies SCD to initiate repossession proceedings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GET /kyc/{cpf}/status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GET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Queries KYC status of a borrower at the SCD</w:t>
            </w:r>
          </w:p>
        </w:tc>
      </w:tr>
    </w:tbl>
    <w:p>
      <w:pPr>
        <w:spacing w:after="80" w:before="80"/>
      </w:pPr>
    </w:p>
    <w:p>
      <w:pPr>
        <w:pBdr>
          <w:left w:val="single" w:color="C9872A" w:sz="16" w:space="8"/>
        </w:pBdr>
        <w:shd w:fill="FEF3E2" w:val="clear"/>
        <w:spacing w:after="80" w:before="80"/>
        <w:ind w:left="360" w:right="360"/>
      </w:pPr>
      <w:r>
        <w:rPr>
          <w:rFonts w:ascii="Arial" w:cs="Arial" w:eastAsia="Arial" w:hAnsi="Arial"/>
          <w:b/>
          <w:bCs/>
          <w:color w:val="7A4F00"/>
          <w:sz w:val="20"/>
          <w:szCs w:val="20"/>
        </w:rPr>
        <w:t xml:space="preserve">⚠ These endpoints belong to the partner SCD — they do not exist yet. They must be specified jointly with the chosen SCD during the legal structuring phase (Months 2–4). The TRDC technical spec depends on the SCD's data model.</w:t>
      </w:r>
    </w:p>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0E7C7B"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09</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0E7C7B"/>
                <w:sz w:val="28"/>
                <w:szCs w:val="28"/>
              </w:rPr>
              <w:t xml:space="preserve">Multi-Token: USDC + Stablecoin BRL</w:t>
            </w:r>
          </w:p>
          <w:p>
            <w:pPr>
              <w:spacing w:after="0" w:before="0"/>
            </w:pPr>
            <w:r>
              <w:rPr>
                <w:rFonts w:ascii="Arial" w:cs="Arial" w:eastAsia="Arial" w:hAnsi="Arial"/>
                <w:color w:val="5A6B7A"/>
                <w:sz w:val="18"/>
                <w:szCs w:val="18"/>
              </w:rPr>
              <w:t xml:space="preserve">V3: primary disbursement in R$ via PIX. Stablecoin is an optional leg.</w:t>
            </w:r>
          </w:p>
        </w:tc>
      </w:tr>
    </w:tbl>
    <w:p>
      <w:pPr>
        <w:spacing w:after="80" w:before="80"/>
      </w:pPr>
    </w:p>
    <w:p>
      <w:pPr>
        <w:spacing w:after="100" w:before="60"/>
      </w:pPr>
      <w:r>
        <w:rPr>
          <w:rFonts w:ascii="Arial" w:cs="Arial" w:eastAsia="Arial" w:hAnsi="Arial"/>
          <w:color w:val="0F1F2E"/>
          <w:sz w:val="22"/>
          <w:szCs w:val="22"/>
        </w:rPr>
        <w:t xml:space="preserve">In V3, the default disbursement is in R$ via PIX through the SCD. The stablecoin vault serves to: (a) borrowers who prefer to receive on-chain; (b) eventual liquidity pooling in stablecoin. The criticality of the BRL vault is lower than in V2.x.</w:t>
      </w:r>
    </w:p>
    <w:p>
      <w:pPr>
        <w:spacing w:after="40" w:before="40"/>
      </w:pPr>
    </w:p>
    <w:p>
      <w:pPr>
        <w:pStyle w:val="Heading2"/>
        <w:spacing w:after="100" w:before="280"/>
      </w:pPr>
      <w:r>
        <w:rPr>
          <w:rFonts w:ascii="Arial" w:cs="Arial" w:eastAsia="Arial" w:hAnsi="Arial"/>
          <w:b/>
          <w:bCs/>
          <w:color w:val="1A3A5C"/>
          <w:sz w:val="26"/>
          <w:szCs w:val="26"/>
        </w:rPr>
        <w:t xml:space="preserve">9.1  Arquitetura Multi-Token — Mantida</w:t>
      </w:r>
    </w:p>
    <w:p>
      <w:pPr>
        <w:shd w:fill="F0F0F0" w:val="clear"/>
        <w:spacing w:after="40" w:before="40"/>
        <w:ind w:left="360"/>
      </w:pPr>
      <w:r>
        <w:rPr>
          <w:rFonts w:ascii="Courier New" w:cs="Courier New" w:eastAsia="Courier New" w:hAnsi="Courier New"/>
          <w:color w:val="0F1F2E"/>
          <w:sz w:val="18"/>
          <w:szCs w:val="18"/>
        </w:rPr>
        <w:t xml:space="preserve">// VaultState por token_mint:</w:t>
      </w:r>
    </w:p>
    <w:p>
      <w:pPr>
        <w:shd w:fill="F0F0F0" w:val="clear"/>
        <w:spacing w:after="40" w:before="40"/>
        <w:ind w:left="360"/>
      </w:pPr>
      <w:r>
        <w:rPr>
          <w:rFonts w:ascii="Courier New" w:cs="Courier New" w:eastAsia="Courier New" w:hAnsi="Courier New"/>
          <w:color w:val="0F1F2E"/>
          <w:sz w:val="18"/>
          <w:szCs w:val="18"/>
        </w:rPr>
        <w:t xml:space="preserve">Seeds: [b"vault_state", token_mint.key()]</w:t>
      </w:r>
    </w:p>
    <w:p>
      <w:pPr>
        <w:shd w:fill="F0F0F0" w:val="clear"/>
        <w:spacing w:after="40" w:before="40"/>
        <w:ind w:left="360"/>
      </w:pPr>
      <w:r>
        <w:rPr>
          <w:rFonts w:ascii="Courier New" w:cs="Courier New" w:eastAsia="Courier New" w:hAnsi="Courier New"/>
          <w:color w:val="0F1F2E"/>
          <w:sz w:val="18"/>
          <w:szCs w:val="18"/>
        </w:rPr>
        <w:t xml:space="preserve"/>
      </w:r>
    </w:p>
    <w:p>
      <w:pPr>
        <w:shd w:fill="F0F0F0" w:val="clear"/>
        <w:spacing w:after="40" w:before="40"/>
        <w:ind w:left="360"/>
      </w:pPr>
      <w:r>
        <w:rPr>
          <w:rFonts w:ascii="Courier New" w:cs="Courier New" w:eastAsia="Courier New" w:hAnsi="Courier New"/>
          <w:color w:val="0F1F2E"/>
          <w:sz w:val="18"/>
          <w:szCs w:val="18"/>
        </w:rPr>
        <w:t xml:space="preserve">Vault USDC:  token_mint = EPjFWdd5...  (Mainnet USDC)</w:t>
      </w:r>
    </w:p>
    <w:p>
      <w:pPr>
        <w:shd w:fill="F0F0F0" w:val="clear"/>
        <w:spacing w:after="40" w:before="40"/>
        <w:ind w:left="360"/>
      </w:pPr>
      <w:r>
        <w:rPr>
          <w:rFonts w:ascii="Courier New" w:cs="Courier New" w:eastAsia="Courier New" w:hAnsi="Courier New"/>
          <w:color w:val="0F1F2E"/>
          <w:sz w:val="18"/>
          <w:szCs w:val="18"/>
        </w:rPr>
        <w:t xml:space="preserve">Vault BRL:   token_mint = [a definir]  (BRZ/BRLA/outro)</w:t>
      </w:r>
    </w:p>
    <w:p>
      <w:pPr>
        <w:spacing w:after="40" w:before="40"/>
      </w:pP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TRDCAccount.loan_token_symbol: [u8; 4] — tamanho fixo obrigatório para Borsh/Anchor. USDC=[85,83,68,67], BRZ=[66,82,90,0]. Qualquer stablecoin com 6 decimais é compatível sem mudança de código.</w:t>
      </w:r>
    </w:p>
    <w:p>
      <w:pPr>
        <w:spacing w:after="80" w:before="80"/>
      </w:pPr>
    </w:p>
    <w:p>
      <w:pPr>
        <w:pStyle w:val="Heading2"/>
        <w:spacing w:after="100" w:before="280"/>
      </w:pPr>
      <w:r>
        <w:rPr>
          <w:rFonts w:ascii="Arial" w:cs="Arial" w:eastAsia="Arial" w:hAnsi="Arial"/>
          <w:b/>
          <w:bCs/>
          <w:color w:val="1A3A5C"/>
          <w:sz w:val="26"/>
          <w:szCs w:val="26"/>
        </w:rPr>
        <w:t xml:space="preserve">9.2  Stablecoin BRL — Decisão em Aberto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rPr>
          <w:tblHeader/>
        </w:trPr>
        <w:tc>
          <w:tcPr>
            <w:tcW w:type="dxa" w:w="20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Candidate</w:t>
            </w:r>
          </w:p>
        </w:tc>
        <w:tc>
          <w:tcPr>
            <w:tcW w:type="dxa" w:w="20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Status Solana</w:t>
            </w:r>
          </w:p>
        </w:tc>
        <w:tc>
          <w:tcPr>
            <w:tcW w:type="dxa" w:w="25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Main criterion</w:t>
            </w:r>
          </w:p>
        </w:tc>
        <w:tc>
          <w:tcPr>
            <w:tcW w:type="dxa" w:w="2526"/>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BRZ (Transfero)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~$34M mcap · ~$2K/dia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Insufficient liquidity for volume disbursement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Only if liquidity validated with Transfero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BRLA (BRLA Digital)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B2B · verificar mint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Institutional focus — aligned with SCD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Contatar BRLA Digital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DREX (BACEN)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Piloto 2025/26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Not 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V3+ only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R$/PIX (V3 default)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N/A — off-chain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No depeg risk, no minimum liquidity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V3 default ✅</w:t>
            </w:r>
          </w:p>
        </w:tc>
      </w:tr>
    </w:tbl>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10</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1A3A5C"/>
                <w:sz w:val="28"/>
                <w:szCs w:val="28"/>
              </w:rPr>
              <w:t xml:space="preserve">Depeg Policy — BRL Stablecoin</w:t>
            </w:r>
          </w:p>
          <w:p>
            <w:pPr>
              <w:spacing w:after="0" w:before="0"/>
            </w:pPr>
            <w:r>
              <w:rPr>
                <w:rFonts w:ascii="Arial" w:cs="Arial" w:eastAsia="Arial" w:hAnsi="Arial"/>
                <w:color w:val="5A6B7A"/>
                <w:sz w:val="18"/>
                <w:szCs w:val="18"/>
              </w:rPr>
              <w:t xml:space="preserve">Carried over from V2.x — lower criticality in V3</w:t>
            </w:r>
          </w:p>
        </w:tc>
      </w:tr>
    </w:tbl>
    <w:p>
      <w:pPr>
        <w:spacing w:after="80" w:before="80"/>
      </w:pPr>
    </w:p>
    <w:p>
      <w:pPr>
        <w:spacing w:after="100" w:before="60"/>
      </w:pPr>
      <w:r>
        <w:rPr>
          <w:rFonts w:ascii="Arial" w:cs="Arial" w:eastAsia="Arial" w:hAnsi="Arial"/>
          <w:color w:val="0F1F2E"/>
          <w:sz w:val="22"/>
          <w:szCs w:val="22"/>
        </w:rPr>
        <w:t xml:space="preserve">With the default disbursement in R$/PIX, the depeg risk of the BRL stablecoin is reduced (affects only the optional on-chain leg). The monitoring policy is maintained as a precaution.</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0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Desvio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Normal — monitorar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Desvio –3%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Automatic pause of the BRL vault. New BRL TRDCs suspended.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Desvio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Offers conversion to USDC for active BRL TRDCs.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Jupiter offline &gt;10 min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Fail-closed — preventive vault BRL pause.</w:t>
            </w:r>
          </w:p>
        </w:tc>
      </w:tr>
    </w:tbl>
    <w:p>
      <w:pPr>
        <w:spacing w:after="40" w:before="40"/>
      </w:pPr>
    </w:p>
    <w:p>
      <w:pPr>
        <w:shd w:fill="F0F0F0" w:val="clear"/>
        <w:spacing w:after="40" w:before="40"/>
        <w:ind w:left="360"/>
      </w:pPr>
      <w:r>
        <w:rPr>
          <w:rFonts w:ascii="Courier New" w:cs="Courier New" w:eastAsia="Courier New" w:hAnsi="Courier New"/>
          <w:color w:val="0F1F2E"/>
          <w:sz w:val="18"/>
          <w:szCs w:val="18"/>
        </w:rPr>
        <w:t xml:space="preserve">// Monitor: Jupiter Price API a cada 5 min</w:t>
      </w:r>
    </w:p>
    <w:p>
      <w:pPr>
        <w:shd w:fill="F0F0F0" w:val="clear"/>
        <w:spacing w:after="40" w:before="40"/>
        <w:ind w:left="360"/>
      </w:pPr>
      <w:r>
        <w:rPr>
          <w:rFonts w:ascii="Courier New" w:cs="Courier New" w:eastAsia="Courier New" w:hAnsi="Courier New"/>
          <w:color w:val="0F1F2E"/>
          <w:sz w:val="18"/>
          <w:szCs w:val="18"/>
        </w:rPr>
        <w:t xml:space="preserve">const url = `https://price.jup.ag/v6/price?ids=${BRL_MINT}&amp;vsToken=USDC`;</w:t>
      </w:r>
    </w:p>
    <w:p>
      <w:pPr>
        <w:shd w:fill="F0F0F0" w:val="clear"/>
        <w:spacing w:after="40" w:before="40"/>
        <w:ind w:left="360"/>
      </w:pPr>
      <w:r>
        <w:rPr>
          <w:rFonts w:ascii="Courier New" w:cs="Courier New" w:eastAsia="Courier New" w:hAnsi="Courier New"/>
          <w:color w:val="0F1F2E"/>
          <w:sz w:val="18"/>
          <w:szCs w:val="18"/>
        </w:rPr>
        <w:t xml:space="preserve">// Substituir BRL_MINT pelo mint da stablecoin escolhida</w:t>
      </w:r>
    </w:p>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10b</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1A3A5C"/>
                <w:sz w:val="28"/>
                <w:szCs w:val="28"/>
              </w:rPr>
              <w:t xml:space="preserve">Asset-Light Expansion Model</w:t>
            </w:r>
          </w:p>
          <w:p>
            <w:pPr>
              <w:spacing w:after="0" w:before="0"/>
            </w:pPr>
            <w:r>
              <w:rPr>
                <w:rFonts w:ascii="Arial" w:cs="Arial" w:eastAsia="Arial" w:hAnsi="Arial"/>
                <w:color w:val="5A6B7A"/>
                <w:sz w:val="18"/>
                <w:szCs w:val="18"/>
              </w:rPr>
              <w:t xml:space="preserve">Expansion by countries, not by offices</w:t>
            </w:r>
          </w:p>
        </w:tc>
      </w:tr>
    </w:tbl>
    <w:p>
      <w:pPr>
        <w:spacing w:after="80" w:before="80"/>
      </w:pPr>
    </w:p>
    <w:p>
      <w:pPr>
        <w:pStyle w:val="Heading2"/>
        <w:spacing w:after="100" w:before="280"/>
      </w:pPr>
      <w:r>
        <w:rPr>
          <w:rFonts w:ascii="Arial" w:cs="Arial" w:eastAsia="Arial" w:hAnsi="Arial"/>
          <w:b/>
          <w:bCs/>
          <w:color w:val="1A3A5C"/>
          <w:sz w:val="26"/>
          <w:szCs w:val="26"/>
        </w:rPr>
        <w:t xml:space="preserve">10b.1  Core Principle</w:t>
      </w:r>
    </w:p>
    <w:p>
      <w:pPr>
        <w:spacing w:after="100" w:before="60"/>
      </w:pPr>
      <w:r>
        <w:rPr>
          <w:rFonts w:ascii="Arial" w:cs="Arial" w:eastAsia="Arial" w:hAnsi="Arial"/>
          <w:color w:val="0F1F2E"/>
          <w:sz w:val="22"/>
          <w:szCs w:val="22"/>
        </w:rPr>
        <w:t xml:space="preserve">GarantiFi is a technology platform — it does not expand physical operations. The cost of entering a new country is the cost of onboarding local partners, localizing the platform, and activating the market. Zero incremental fixed cost.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Incorrect Model (traditional company)</w:t>
            </w:r>
          </w:p>
        </w:tc>
        <w:tc>
          <w:tcPr>
            <w:tcW w:type="dxa" w:w="4513"/>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Correct Model (asset-light platform)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Registered branch in each country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No physical registration required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Own vault or monthly rental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Local partner custodian — paid per asset/month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Equipe local contratada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On-demand appraisers — paid per report issued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Fixed monthly insurance per market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Insurance follows the asset — charged per transaction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Break-even: 80–120 CCBs/year per market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Break-even: 16–73 total CCBs per country (activation ÷ margin)</w:t>
            </w:r>
          </w:p>
        </w:tc>
      </w:tr>
    </w:tbl>
    <w:p>
      <w:pPr>
        <w:spacing w:after="80" w:before="80"/>
      </w:pPr>
    </w:p>
    <w:p>
      <w:pPr>
        <w:pStyle w:val="Heading2"/>
        <w:spacing w:after="100" w:before="280"/>
      </w:pPr>
      <w:r>
        <w:rPr>
          <w:rFonts w:ascii="Arial" w:cs="Arial" w:eastAsia="Arial" w:hAnsi="Arial"/>
          <w:b/>
          <w:bCs/>
          <w:color w:val="1A3A5C"/>
          <w:sz w:val="26"/>
          <w:szCs w:val="26"/>
        </w:rPr>
        <w:t xml:space="preserve">10b.2  Activation Cost per Country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26"/>
      </w:tblGrid>
      <w:tr>
        <w:trPr>
          <w:tblHeader/>
        </w:trPr>
        <w:tc>
          <w:tcPr>
            <w:tcW w:type="dxa" w:w="25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Cost (BRL equiv.)</w:t>
            </w:r>
          </w:p>
        </w:tc>
        <w:tc>
          <w:tcPr>
            <w:tcW w:type="dxa" w:w="2026"/>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Natureza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Local regulatory mapping (legal opinion)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R$5–20K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One-time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Platform localization (eng. sprint)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2–4 sprints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Internal cost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Onboarding custodiante + webhook on-chain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R$0–3K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One-time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Appraiser onboarding (qualification + test reports)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R$0–2K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One-time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Payment account / local 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R$0–5K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One-time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Market entry marketing (1 event + local channels)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R$5–15K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One-time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TOTAL ACTIVATION COST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R$10–45K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One-time · no recurring fixed cost</w:t>
            </w:r>
          </w:p>
        </w:tc>
      </w:tr>
    </w:tbl>
    <w:p>
      <w:pPr>
        <w:spacing w:after="80" w:before="80"/>
      </w:pP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All operational costs (appraisal, custody, insurance, KYC) are already in the variable cost line of each CCB. The platform adds no fixed cost when entering a new country — only the one-time activation cost.</w:t>
      </w:r>
    </w:p>
    <w:p>
      <w:pPr>
        <w:spacing w:after="80" w:before="80"/>
      </w:pPr>
    </w:p>
    <w:p>
      <w:pPr>
        <w:pStyle w:val="Heading2"/>
        <w:spacing w:after="100" w:before="280"/>
      </w:pPr>
      <w:r>
        <w:rPr>
          <w:rFonts w:ascii="Arial" w:cs="Arial" w:eastAsia="Arial" w:hAnsi="Arial"/>
          <w:b/>
          <w:bCs/>
          <w:color w:val="1A3A5C"/>
          <w:sz w:val="26"/>
          <w:szCs w:val="26"/>
        </w:rPr>
        <w:t xml:space="preserve">10b.3  Essential Partners per Country (3 minimum)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426"/>
      </w:tblGrid>
      <w:tr>
        <w:trPr>
          <w:tblHeader/>
        </w:trPr>
        <w:tc>
          <w:tcPr>
            <w:tcW w:type="dxa" w:w="14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20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426"/>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Onboarding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Physical custodian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Local fiduciary. Triggers insurance upon asset intake. Webhook confirm_custody → on-chain.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Banking certification or equivalent. Own RC. Ability to serve borrowers in person.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2–4 semanas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Avaliador (online + offline)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Paid per report. Qualified under the triangular model V1.2.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Luxury watch specialist. Accepts legal entity billing per report. Timegrapher for offline use.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3–6 semanas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Seguradora parceira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Per-asset policy upon vault entry. Can be bundled into the custodian fee.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Theft/damage/fire coverage. Institutional rate negotiated by volume.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1–3 semanas</w:t>
            </w:r>
          </w:p>
        </w:tc>
      </w:tr>
    </w:tbl>
    <w:p>
      <w:pPr>
        <w:spacing w:after="80" w:before="80"/>
      </w:pPr>
    </w:p>
    <w:p>
      <w:pPr>
        <w:pStyle w:val="Heading2"/>
        <w:spacing w:after="100" w:before="280"/>
      </w:pPr>
      <w:r>
        <w:rPr>
          <w:rFonts w:ascii="Arial" w:cs="Arial" w:eastAsia="Arial" w:hAnsi="Arial"/>
          <w:b/>
          <w:bCs/>
          <w:color w:val="1A3A5C"/>
          <w:sz w:val="26"/>
          <w:szCs w:val="26"/>
        </w:rPr>
        <w:t xml:space="preserve">10b.4  Playbook Universal — 6 a 10 Semanas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226"/>
      </w:tblGrid>
      <w:tr>
        <w:trPr>
          <w:tblHeader/>
        </w:trPr>
        <w:tc>
          <w:tcPr>
            <w:tcW w:type="dxa" w:w="8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0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226"/>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S1–2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Regulatory mapping + identification of custodians and appraisers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Legal go/no-go opinion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S3–4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Custodian + appraiser + insurer + payment account contracts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3 parcerias assinadas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S5–6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Localization eng. sprint + appraiser qualification + test appraisal reports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Plataforma localizada + avaliadores qualificados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S7–10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Soft launch: local channels + onboarding event + first CCBs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 First CCB issued in the country</w:t>
            </w:r>
          </w:p>
        </w:tc>
      </w:tr>
    </w:tbl>
    <w:p>
      <w:pPr>
        <w:spacing w:after="80" w:before="80"/>
      </w:pPr>
    </w:p>
    <w:p>
      <w:pPr>
        <w:pStyle w:val="Heading2"/>
        <w:spacing w:after="100" w:before="280"/>
      </w:pPr>
      <w:r>
        <w:rPr>
          <w:rFonts w:ascii="Arial" w:cs="Arial" w:eastAsia="Arial" w:hAnsi="Arial"/>
          <w:b/>
          <w:bCs/>
          <w:color w:val="1A3A5C"/>
          <w:sz w:val="26"/>
          <w:szCs w:val="26"/>
        </w:rPr>
        <w:t xml:space="preserve">10b.5  Country Roadmap 2026–2028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300"/>
        <w:gridCol w:w="4226"/>
      </w:tblGrid>
      <w:tr>
        <w:trPr>
          <w:tblHeader/>
        </w:trPr>
        <w:tc>
          <w:tcPr>
            <w:tcW w:type="dxa" w:w="15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0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300"/>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Activation cost</w:t>
            </w:r>
          </w:p>
        </w:tc>
        <w:tc>
          <w:tcPr>
            <w:tcW w:type="dxa" w:w="4226"/>
            <w:tcBorders>
              <w:top w:val="single" w:color="0F1F2E" w:sz="1"/>
              <w:left w:val="single" w:color="0F1F2E" w:sz="1"/>
              <w:bottom w:val="single" w:color="0F1F2E" w:sz="1"/>
              <w:right w:val="single" w:color="0F1F2E"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Main blocker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 Brasil (SP)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MVP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SCD + AF legal structuring. Playbook under construction.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 Colombia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LatAm 2026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~R$15–30K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Regulation: prenda sin tenencia is equivalent to Brazilian AF.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 Mexico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LatAm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~R$20–40K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Largest LatAm TAM. Monte de Piedad = proof of model.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 Panama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LatAm 2026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~R$10–20K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USD nativo — vault USDC sem risco cambial.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 Peru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LatAm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~R$12–25K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Offline appraiser: watch expertise still emerging in Lima.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1F2E"/>
                <w:sz w:val="18"/>
                <w:szCs w:val="18"/>
              </w:rPr>
              <w:t xml:space="preserve">🇨🇱 Chile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LatAm 2026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~R$15–30K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F1F2E"/>
                <w:sz w:val="18"/>
                <w:szCs w:val="18"/>
              </w:rPr>
              <w:t xml:space="preserve">Premium market: highest per capita income in LatAm.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2E"/>
                <w:sz w:val="18"/>
                <w:szCs w:val="18"/>
              </w:rPr>
              <w:t xml:space="preserve">🇺🇸 USA (Miami+NYC)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2027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~R$50–120K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F2E"/>
                <w:sz w:val="18"/>
                <w:szCs w:val="18"/>
              </w:rPr>
              <w:t xml:space="preserve">Pawnbroker license per state (FL/NY). US$8.6B → US$45.6B (2030).</w:t>
            </w:r>
          </w:p>
        </w:tc>
      </w:tr>
    </w:tbl>
    <w:p>
      <w:pPr>
        <w:pBdr>
          <w:bottom w:val="single" w:color="E0D8CC" w:sz="4" w:space="1"/>
        </w:pBdr>
        <w:spacing w:after="220" w:before="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8346"/>
      </w:tblGrid>
      <w:tr>
        <w:tc>
          <w:tcPr>
            <w:tcW w:type="dxa" w:w="68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30"/>
                <w:szCs w:val="30"/>
              </w:rPr>
              <w:t xml:space="preserve">11</w:t>
            </w:r>
          </w:p>
        </w:tc>
        <w:tc>
          <w:tcPr>
            <w:tcW w:type="dxa" w:w="8346"/>
            <w:tcBorders>
              <w:top w:val="none" w:color="FFFFFF" w:sz="0"/>
              <w:left w:val="none" w:color="FFFFFF" w:sz="0"/>
              <w:bottom w:val="none" w:color="FFFFFF" w:sz="0"/>
              <w:right w:val="none" w:color="FFFFFF" w:sz="0"/>
            </w:tcBorders>
            <w:shd w:fill="EDF2F8" w:val="clear"/>
            <w:tcMar>
              <w:top w:type="dxa" w:w="120"/>
              <w:left w:type="dxa" w:w="200"/>
              <w:bottom w:type="dxa" w:w="120"/>
              <w:right w:type="dxa" w:w="200"/>
            </w:tcMar>
          </w:tcPr>
          <w:p>
            <w:pPr>
              <w:spacing w:after="0" w:before="0"/>
            </w:pPr>
            <w:r>
              <w:rPr>
                <w:rFonts w:ascii="Arial" w:cs="Arial" w:eastAsia="Arial" w:hAnsi="Arial"/>
                <w:b/>
                <w:bCs/>
                <w:color w:val="1A3A5C"/>
                <w:sz w:val="28"/>
                <w:szCs w:val="28"/>
              </w:rPr>
              <w:t xml:space="preserve">Pre-Mainnet V3 Checklist</w:t>
            </w:r>
          </w:p>
          <w:p>
            <w:pPr>
              <w:spacing w:after="0" w:before="0"/>
            </w:pPr>
            <w:r>
              <w:rPr>
                <w:rFonts w:ascii="Arial" w:cs="Arial" w:eastAsia="Arial" w:hAnsi="Arial"/>
                <w:color w:val="5A6B7A"/>
                <w:sz w:val="18"/>
                <w:szCs w:val="18"/>
              </w:rPr>
              <w:t xml:space="preserve">Technical, legal, and operational items</w:t>
            </w:r>
          </w:p>
        </w:tc>
      </w:tr>
    </w:tbl>
    <w:p>
      <w:pPr>
        <w:spacing w:after="80" w:before="80"/>
      </w:pPr>
    </w:p>
    <w:p>
      <w:pPr>
        <w:pStyle w:val="Heading2"/>
        <w:spacing w:after="100" w:before="280"/>
      </w:pPr>
      <w:r>
        <w:rPr>
          <w:rFonts w:ascii="Arial" w:cs="Arial" w:eastAsia="Arial" w:hAnsi="Arial"/>
          <w:b/>
          <w:bCs/>
          <w:color w:val="1A3A5C"/>
          <w:sz w:val="26"/>
          <w:szCs w:val="26"/>
        </w:rPr>
        <w:t xml:space="preserve">11.1  Legal Blockers (BEFORE any production code)</w:t>
      </w:r>
    </w:p>
    <w:p>
      <w:pPr>
        <w:pBdr>
          <w:left w:val="single" w:color="C9872A" w:sz="16" w:space="8"/>
        </w:pBdr>
        <w:shd w:fill="FEF3E2" w:val="clear"/>
        <w:spacing w:after="80" w:before="80"/>
        <w:ind w:left="360" w:right="360"/>
      </w:pPr>
      <w:r>
        <w:rPr>
          <w:rFonts w:ascii="Arial" w:cs="Arial" w:eastAsia="Arial" w:hAnsi="Arial"/>
          <w:b/>
          <w:bCs/>
          <w:color w:val="7A4F00"/>
          <w:sz w:val="20"/>
          <w:szCs w:val="20"/>
        </w:rPr>
        <w:t xml:space="preserve">⚠ These items are prerequisites for the technical layer — no code is valid without the legal structure.</w:t>
      </w:r>
    </w:p>
    <w:p>
      <w:pPr>
        <w:spacing w:after="40" w:before="40"/>
      </w:pPr>
    </w:p>
    <w:p>
      <w:pPr>
        <w:spacing w:after="30" w:before="30"/>
      </w:pPr>
      <w:r>
        <w:rPr>
          <w:rFonts w:ascii="Arial" w:cs="Arial" w:eastAsia="Arial" w:hAnsi="Arial"/>
          <w:color w:val="0F1F2E"/>
          <w:sz w:val="20"/>
          <w:szCs w:val="20"/>
        </w:rPr>
        <w:t xml:space="preserve">☐  Hire specialized legal counsel (banking + capital markets + crypto) — R$50–150K</w:t>
      </w:r>
    </w:p>
    <w:p>
      <w:pPr>
        <w:spacing w:after="30" w:before="30"/>
      </w:pPr>
      <w:r>
        <w:rPr>
          <w:rFonts w:ascii="Arial" w:cs="Arial" w:eastAsia="Arial" w:hAnsi="Arial"/>
          <w:color w:val="0F1F2E"/>
          <w:sz w:val="20"/>
          <w:szCs w:val="20"/>
        </w:rPr>
        <w:t xml:space="preserve">☐  Identify and engage a BACEN-licensed SCD partner for CCB issuance</w:t>
      </w:r>
    </w:p>
    <w:p>
      <w:pPr>
        <w:spacing w:after="30" w:before="30"/>
      </w:pPr>
      <w:r>
        <w:rPr>
          <w:rFonts w:ascii="Arial" w:cs="Arial" w:eastAsia="Arial" w:hAnsi="Arial"/>
          <w:color w:val="0F1F2E"/>
          <w:sz w:val="20"/>
          <w:szCs w:val="20"/>
        </w:rPr>
        <w:t xml:space="preserve">☐  Model the CCB with a fiduciary assignment clause in conjunction with the SCD</w:t>
      </w:r>
    </w:p>
    <w:p>
      <w:pPr>
        <w:spacing w:after="30" w:before="30"/>
      </w:pPr>
      <w:r>
        <w:rPr>
          <w:rFonts w:ascii="Arial" w:cs="Arial" w:eastAsia="Arial" w:hAnsi="Arial"/>
          <w:color w:val="0F1F2E"/>
          <w:sz w:val="20"/>
          <w:szCs w:val="20"/>
        </w:rPr>
        <w:t xml:space="preserve">☐  Define LP structure: FIDC (CVM 175) or securitization company CRs</w:t>
      </w:r>
    </w:p>
    <w:p>
      <w:pPr>
        <w:spacing w:after="30" w:before="30"/>
      </w:pPr>
      <w:r>
        <w:rPr>
          <w:rFonts w:ascii="Arial" w:cs="Arial" w:eastAsia="Arial" w:hAnsi="Arial"/>
          <w:color w:val="0F1F2E"/>
          <w:sz w:val="20"/>
          <w:szCs w:val="20"/>
        </w:rPr>
        <w:t xml:space="preserve">☐  Analyze TRDC classification with CVM (security?)</w:t>
      </w:r>
    </w:p>
    <w:p>
      <w:pPr>
        <w:spacing w:after="30" w:before="30"/>
      </w:pPr>
      <w:r>
        <w:rPr>
          <w:rFonts w:ascii="Arial" w:cs="Arial" w:eastAsia="Arial" w:hAnsi="Arial"/>
          <w:color w:val="0F1F2E"/>
          <w:sz w:val="20"/>
          <w:szCs w:val="20"/>
        </w:rPr>
        <w:t xml:space="preserve">☐  Definir stablecoin BRL (BRZ/BRLA/outro) — contato Transfero e BRLA Digital</w:t>
      </w:r>
    </w:p>
    <w:p>
      <w:pPr>
        <w:spacing w:after="30" w:before="30"/>
      </w:pPr>
      <w:r>
        <w:rPr>
          <w:rFonts w:ascii="Arial" w:cs="Arial" w:eastAsia="Arial" w:hAnsi="Arial"/>
          <w:color w:val="0F1F2E"/>
          <w:sz w:val="20"/>
          <w:szCs w:val="20"/>
        </w:rPr>
        <w:t xml:space="preserve">☐  Registrar-se como VASP ou contratar VASP parceiro (Lei 14.478/2022)</w:t>
      </w:r>
    </w:p>
    <w:p>
      <w:pPr>
        <w:spacing w:after="80" w:before="80"/>
      </w:pPr>
    </w:p>
    <w:p>
      <w:pPr>
        <w:pStyle w:val="Heading2"/>
        <w:spacing w:after="100" w:before="280"/>
      </w:pPr>
      <w:r>
        <w:rPr>
          <w:rFonts w:ascii="Arial" w:cs="Arial" w:eastAsia="Arial" w:hAnsi="Arial"/>
          <w:b/>
          <w:bCs/>
          <w:color w:val="1A3A5C"/>
          <w:sz w:val="26"/>
          <w:szCs w:val="26"/>
        </w:rPr>
        <w:t xml:space="preserve">11.2  Technical Blockers (CPI + TRDC)</w:t>
      </w:r>
    </w:p>
    <w:p>
      <w:pPr>
        <w:spacing w:after="30" w:before="30"/>
      </w:pPr>
      <w:r>
        <w:rPr>
          <w:rFonts w:ascii="Arial" w:cs="Arial" w:eastAsia="Arial" w:hAnsi="Arial"/>
          <w:color w:val="0F1F2E"/>
          <w:sz w:val="20"/>
          <w:szCs w:val="20"/>
        </w:rPr>
        <w:t xml:space="preserve">☐  CPI caller validation in disburse_ccb and receive_repayment (Section 1.5) — blast radius 100% of vault</w:t>
      </w:r>
    </w:p>
    <w:p>
      <w:pPr>
        <w:spacing w:after="30" w:before="30"/>
      </w:pPr>
      <w:r>
        <w:rPr>
          <w:rFonts w:ascii="Arial" w:cs="Arial" w:eastAsia="Arial" w:hAnsi="Arial"/>
          <w:color w:val="0F1F2E"/>
          <w:sz w:val="20"/>
          <w:szCs w:val="20"/>
        </w:rPr>
        <w:t xml:space="preserve">☐  TRDCAccount structure with ccb_hash and ccb_external_id (Section 2.2)</w:t>
      </w:r>
    </w:p>
    <w:p>
      <w:pPr>
        <w:spacing w:after="30" w:before="30"/>
      </w:pPr>
      <w:r>
        <w:rPr>
          <w:rFonts w:ascii="Arial" w:cs="Arial" w:eastAsia="Arial" w:hAnsi="Arial"/>
          <w:color w:val="0F1F2E"/>
          <w:sz w:val="20"/>
          <w:szCs w:val="20"/>
        </w:rPr>
        <w:t xml:space="preserve">☐  PENDING_KYC and PENDING_CCB states implemented (Section 2.3)</w:t>
      </w:r>
    </w:p>
    <w:p>
      <w:pPr>
        <w:spacing w:after="30" w:before="30"/>
      </w:pPr>
      <w:r>
        <w:rPr>
          <w:rFonts w:ascii="Arial" w:cs="Arial" w:eastAsia="Arial" w:hAnsi="Arial"/>
          <w:color w:val="0F1F2E"/>
          <w:sz w:val="20"/>
          <w:szCs w:val="20"/>
        </w:rPr>
        <w:t xml:space="preserve">☐  confirm_custody → disburse_ccb separation of responsibility (Section 2.5)</w:t>
      </w:r>
    </w:p>
    <w:p>
      <w:pPr>
        <w:spacing w:after="30" w:before="30"/>
      </w:pPr>
      <w:r>
        <w:rPr>
          <w:rFonts w:ascii="Arial" w:cs="Arial" w:eastAsia="Arial" w:hAnsi="Arial"/>
          <w:color w:val="0F1F2E"/>
          <w:sz w:val="20"/>
          <w:szCs w:val="20"/>
        </w:rPr>
        <w:t xml:space="preserve">☐  renew_ccb with new_ccb_hash from the amendment (Section 2.6)</w:t>
      </w:r>
    </w:p>
    <w:p>
      <w:pPr>
        <w:spacing w:after="30" w:before="30"/>
      </w:pPr>
      <w:r>
        <w:rPr>
          <w:rFonts w:ascii="Arial" w:cs="Arial" w:eastAsia="Arial" w:hAnsi="Arial"/>
          <w:color w:val="0F1F2E"/>
          <w:sz w:val="20"/>
          <w:szCs w:val="20"/>
        </w:rPr>
        <w:t xml:space="preserve">☐  execute_af_default: atomic accounting + TRDC transfer (Section 2.7)</w:t>
      </w:r>
    </w:p>
    <w:p>
      <w:pPr>
        <w:spacing w:after="30" w:before="30"/>
      </w:pPr>
      <w:r>
        <w:rPr>
          <w:rFonts w:ascii="Arial" w:cs="Arial" w:eastAsia="Arial" w:hAnsi="Arial"/>
          <w:color w:val="0F1F2E"/>
          <w:sz w:val="20"/>
          <w:szCs w:val="20"/>
        </w:rPr>
        <w:t xml:space="preserve">☐  WebSocket reconnect + catchup via getSignaturesForAddress (Section 8.2)</w:t>
      </w:r>
    </w:p>
    <w:p>
      <w:pPr>
        <w:spacing w:after="30" w:before="30"/>
      </w:pPr>
      <w:r>
        <w:rPr>
          <w:rFonts w:ascii="Arial" w:cs="Arial" w:eastAsia="Arial" w:hAnsi="Arial"/>
          <w:color w:val="0F1F2E"/>
          <w:sz w:val="20"/>
          <w:szCs w:val="20"/>
        </w:rPr>
        <w:t xml:space="preserve">☐  Hourly cron mark_overdue (Section 8.1)</w:t>
      </w:r>
    </w:p>
    <w:p>
      <w:pPr>
        <w:spacing w:after="80" w:before="80"/>
      </w:pPr>
    </w:p>
    <w:p>
      <w:pPr>
        <w:pStyle w:val="Heading2"/>
        <w:spacing w:after="100" w:before="280"/>
      </w:pPr>
      <w:r>
        <w:rPr>
          <w:rFonts w:ascii="Arial" w:cs="Arial" w:eastAsia="Arial" w:hAnsi="Arial"/>
          <w:b/>
          <w:bCs/>
          <w:color w:val="1A3A5C"/>
          <w:sz w:val="26"/>
          <w:szCs w:val="26"/>
        </w:rPr>
        <w:t xml:space="preserve">11.3  Integration and Compliance</w:t>
      </w:r>
    </w:p>
    <w:p>
      <w:pPr>
        <w:spacing w:after="30" w:before="30"/>
      </w:pPr>
      <w:r>
        <w:rPr>
          <w:rFonts w:ascii="Arial" w:cs="Arial" w:eastAsia="Arial" w:hAnsi="Arial"/>
          <w:color w:val="0F1F2E"/>
          <w:sz w:val="20"/>
          <w:szCs w:val="20"/>
        </w:rPr>
        <w:t xml:space="preserve">☐  KYC/AML-CFT: bureau integrated into onboarding (Section 4)</w:t>
      </w:r>
    </w:p>
    <w:p>
      <w:pPr>
        <w:spacing w:after="30" w:before="30"/>
      </w:pPr>
      <w:r>
        <w:rPr>
          <w:rFonts w:ascii="Arial" w:cs="Arial" w:eastAsia="Arial" w:hAnsi="Arial"/>
          <w:color w:val="0F1F2E"/>
          <w:sz w:val="20"/>
          <w:szCs w:val="20"/>
        </w:rPr>
        <w:t xml:space="preserve">☐  Integration API with SCD partner specified and tested (Section 8.3)</w:t>
      </w:r>
    </w:p>
    <w:p>
      <w:pPr>
        <w:spacing w:after="30" w:before="30"/>
      </w:pPr>
      <w:r>
        <w:rPr>
          <w:rFonts w:ascii="Arial" w:cs="Arial" w:eastAsia="Arial" w:hAnsi="Arial"/>
          <w:color w:val="0F1F2E"/>
          <w:sz w:val="20"/>
          <w:szCs w:val="20"/>
        </w:rPr>
        <w:t xml:space="preserve">☐  Custody-oracle: custodian webhook → confirm_custody on-chain</w:t>
      </w:r>
    </w:p>
    <w:p>
      <w:pPr>
        <w:spacing w:after="30" w:before="30"/>
      </w:pPr>
      <w:r>
        <w:rPr>
          <w:rFonts w:ascii="Arial" w:cs="Arial" w:eastAsia="Arial" w:hAnsi="Arial"/>
          <w:color w:val="0F1F2E"/>
          <w:sz w:val="20"/>
          <w:szCs w:val="20"/>
        </w:rPr>
        <w:t xml:space="preserve">☐  Privacy policy + DPA with SCD and custodian (LGPD)</w:t>
      </w:r>
    </w:p>
    <w:p>
      <w:pPr>
        <w:spacing w:after="30" w:before="30"/>
      </w:pPr>
      <w:r>
        <w:rPr>
          <w:rFonts w:ascii="Arial" w:cs="Arial" w:eastAsia="Arial" w:hAnsi="Arial"/>
          <w:color w:val="0F1F2E"/>
          <w:sz w:val="20"/>
          <w:szCs w:val="20"/>
        </w:rPr>
        <w:t xml:space="preserve">☐  Validate appraiser partner for watches/jewelry — triangular model V1.2: 1 online appraiser (24h) + 1 offline (48h, timegrapher) per market</w:t>
      </w:r>
    </w:p>
    <w:p>
      <w:pPr>
        <w:spacing w:after="30" w:before="30"/>
      </w:pPr>
      <w:r>
        <w:rPr>
          <w:rFonts w:ascii="Arial" w:cs="Arial" w:eastAsia="Arial" w:hAnsi="Arial"/>
          <w:color w:val="0F1F2E"/>
          <w:sz w:val="20"/>
          <w:szCs w:val="20"/>
        </w:rPr>
        <w:t xml:space="preserve">☐  Contact Brinks Log and Prosegur for Phase 1 logistics quote</w:t>
      </w:r>
    </w:p>
    <w:p>
      <w:pPr>
        <w:spacing w:after="80" w:before="80"/>
      </w:pPr>
    </w:p>
    <w:p>
      <w:pPr>
        <w:pStyle w:val="Heading2"/>
        <w:spacing w:after="100" w:before="280"/>
      </w:pPr>
      <w:r>
        <w:rPr>
          <w:rFonts w:ascii="Arial" w:cs="Arial" w:eastAsia="Arial" w:hAnsi="Arial"/>
          <w:b/>
          <w:bCs/>
          <w:color w:val="1A3A5C"/>
          <w:sz w:val="26"/>
          <w:szCs w:val="26"/>
        </w:rPr>
        <w:t xml:space="preserve">11.4  Devnet Testing</w:t>
      </w:r>
    </w:p>
    <w:p>
      <w:pPr>
        <w:spacing w:after="30" w:before="30"/>
      </w:pPr>
      <w:r>
        <w:rPr>
          <w:rFonts w:ascii="Arial" w:cs="Arial" w:eastAsia="Arial" w:hAnsi="Arial"/>
          <w:color w:val="0F1F2E"/>
          <w:sz w:val="20"/>
          <w:szCs w:val="20"/>
        </w:rPr>
        <w:t xml:space="preserve">☐  Complete USDC cycle: create_ccb_trdc → confirm_custody → disburse_ccb → repay_ccb</w:t>
      </w:r>
    </w:p>
    <w:p>
      <w:pPr>
        <w:spacing w:after="30" w:before="30"/>
      </w:pPr>
      <w:r>
        <w:rPr>
          <w:rFonts w:ascii="Arial" w:cs="Arial" w:eastAsia="Arial" w:hAnsi="Arial"/>
          <w:color w:val="0F1F2E"/>
          <w:sz w:val="20"/>
          <w:szCs w:val="20"/>
        </w:rPr>
        <w:t xml:space="preserve">☐  BRL stablecoin cycle [mint TBD]</w:t>
      </w:r>
    </w:p>
    <w:p>
      <w:pPr>
        <w:spacing w:after="30" w:before="30"/>
      </w:pPr>
      <w:r>
        <w:rPr>
          <w:rFonts w:ascii="Arial" w:cs="Arial" w:eastAsia="Arial" w:hAnsi="Arial"/>
          <w:color w:val="0F1F2E"/>
          <w:sz w:val="20"/>
          <w:szCs w:val="20"/>
        </w:rPr>
        <w:t xml:space="preserve">☐  renew_ccb: amendment with new_ccb_hash</w:t>
      </w:r>
    </w:p>
    <w:p>
      <w:pPr>
        <w:spacing w:after="30" w:before="30"/>
      </w:pPr>
      <w:r>
        <w:rPr>
          <w:rFonts w:ascii="Arial" w:cs="Arial" w:eastAsia="Arial" w:hAnsi="Arial"/>
          <w:color w:val="0F1F2E"/>
          <w:sz w:val="20"/>
          <w:szCs w:val="20"/>
        </w:rPr>
        <w:t xml:space="preserve">☐  execute_af_default → atomic accounting + TRDC to liquidation wallet</w:t>
      </w:r>
    </w:p>
    <w:p>
      <w:pPr>
        <w:spacing w:after="30" w:before="30"/>
      </w:pPr>
      <w:r>
        <w:rPr>
          <w:rFonts w:ascii="Arial" w:cs="Arial" w:eastAsia="Arial" w:hAnsi="Arial"/>
          <w:color w:val="0F1F2E"/>
          <w:sz w:val="20"/>
          <w:szCs w:val="20"/>
        </w:rPr>
        <w:t xml:space="preserve">☐  Cross-token attempt: pay USDC against BRL TRDC (should fail)</w:t>
      </w:r>
    </w:p>
    <w:p>
      <w:pPr>
        <w:spacing w:after="30" w:before="30"/>
      </w:pPr>
      <w:r>
        <w:rPr>
          <w:rFonts w:ascii="Arial" w:cs="Arial" w:eastAsia="Arial" w:hAnsi="Arial"/>
          <w:color w:val="0F1F2E"/>
          <w:sz w:val="20"/>
          <w:szCs w:val="20"/>
        </w:rPr>
        <w:t xml:space="preserve">☐  Simulate depeg &gt;3%: pause BRL vault + fall-through to R$/PIX</w:t>
      </w:r>
    </w:p>
    <w:p>
      <w:pPr>
        <w:spacing w:after="30" w:before="30"/>
      </w:pPr>
      <w:r>
        <w:rPr>
          <w:rFonts w:ascii="Arial" w:cs="Arial" w:eastAsia="Arial" w:hAnsi="Arial"/>
          <w:color w:val="0F1F2E"/>
          <w:sz w:val="20"/>
          <w:szCs w:val="20"/>
        </w:rPr>
        <w:t xml:space="preserve">☐  Unauthorized CPI attempt: should return UnauthorizedCaller</w:t>
      </w:r>
    </w:p>
    <w:p>
      <w:pPr>
        <w:spacing w:after="30" w:before="30"/>
      </w:pPr>
      <w:r>
        <w:rPr>
          <w:rFonts w:ascii="Arial" w:cs="Arial" w:eastAsia="Arial" w:hAnsi="Arial"/>
          <w:color w:val="0F1F2E"/>
          <w:sz w:val="20"/>
          <w:szCs w:val="20"/>
        </w:rPr>
        <w:t xml:space="preserve">☐  Stress test: 100 simultaneous TRDCs on Devnet</w:t>
      </w:r>
    </w:p>
    <w:p>
      <w:pPr>
        <w:spacing w:after="80" w:before="80"/>
      </w:pPr>
    </w:p>
    <w:p>
      <w:pPr>
        <w:pStyle w:val="Heading2"/>
        <w:spacing w:after="100" w:before="280"/>
      </w:pPr>
      <w:r>
        <w:rPr>
          <w:rFonts w:ascii="Arial" w:cs="Arial" w:eastAsia="Arial" w:hAnsi="Arial"/>
          <w:b/>
          <w:bCs/>
          <w:color w:val="1A3A5C"/>
          <w:sz w:val="26"/>
          <w:szCs w:val="26"/>
        </w:rPr>
        <w:t xml:space="preserve">11.5  Auditoria Externa</w:t>
      </w:r>
    </w:p>
    <w:p>
      <w:pPr>
        <w:pBdr>
          <w:left w:val="single" w:color="1A3A5C" w:sz="16" w:space="8"/>
        </w:pBdr>
        <w:shd w:fill="EBF0F5" w:val="clear"/>
        <w:spacing w:after="80" w:before="80"/>
        <w:ind w:left="360" w:right="360"/>
      </w:pPr>
      <w:r>
        <w:rPr>
          <w:rFonts w:ascii="Arial" w:cs="Arial" w:eastAsia="Arial" w:hAnsi="Arial"/>
          <w:i/>
          <w:iCs/>
          <w:color w:val="0F1F2E"/>
          <w:sz w:val="20"/>
          <w:szCs w:val="20"/>
        </w:rPr>
        <w:t xml:space="preserve">Smart contract audit should be performed AFTER: (a) legal structure defined, (b) TRDC spec finalized with partner SCD, (c) Devnet tests completed. Auditing before = potential rework. Budget: R$80–150K.</w:t>
      </w:r>
    </w:p>
    <w:p>
      <w:pPr>
        <w:spacing w:after="160" w:before="160"/>
      </w:pPr>
    </w:p>
    <w:p>
      <w:pPr>
        <w:pBdr>
          <w:top w:val="single" w:color="CCCCCC" w:sz="2" w:space="6"/>
        </w:pBdr>
        <w:spacing w:after="40" w:before="60"/>
      </w:pPr>
      <w:r>
        <w:rPr>
          <w:rFonts w:ascii="Arial" w:cs="Arial" w:eastAsia="Arial" w:hAnsi="Arial"/>
          <w:i/>
          <w:iCs/>
          <w:color w:val="5A6B7A"/>
          <w:sz w:val="18"/>
          <w:szCs w:val="18"/>
        </w:rPr>
        <w:t xml:space="preserve">GarantiFi — Technical Specification MVP V3.0 · April 2026 · Architecture A (SCD) · CCB + Fiduciary Assignment · TRDC</w:t>
      </w:r>
    </w:p>
    <w:p>
      <w:pPr>
        <w:spacing w:after="40" w:before="0"/>
      </w:pPr>
      <w:r>
        <w:rPr>
          <w:rFonts w:ascii="Arial" w:cs="Arial" w:eastAsia="Arial" w:hAnsi="Arial"/>
          <w:i/>
          <w:iCs/>
          <w:color w:val="5A6B7A"/>
          <w:sz w:val="18"/>
          <w:szCs w:val="18"/>
        </w:rPr>
        <w:t xml:space="preserve">This document should be read together with the Business Model V3.0 and the Legal Opinion of 04/13/2026.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2026-04-17T20:14:39.792Z</dcterms:created>
  <dcterms:modified xsi:type="dcterms:W3CDTF">2026-04-17T20:14:39.793Z</dcterms:modified>
</cp:coreProperties>
</file>

<file path=docProps/custom.xml><?xml version="1.0" encoding="utf-8"?>
<Properties xmlns="http://schemas.openxmlformats.org/officeDocument/2006/custom-properties" xmlns:vt="http://schemas.openxmlformats.org/officeDocument/2006/docPropsVTypes"/>
</file>